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C3D6" w14:textId="77777777" w:rsidR="00E206B2" w:rsidRPr="009172BD" w:rsidRDefault="00E206B2" w:rsidP="00E206B2">
      <w:pPr>
        <w:spacing w:after="0" w:line="240" w:lineRule="auto"/>
        <w:jc w:val="center"/>
        <w:rPr>
          <w:rFonts w:ascii="Arial" w:hAnsi="Arial"/>
          <w:b/>
          <w:sz w:val="24"/>
        </w:rPr>
      </w:pPr>
      <w:r w:rsidRPr="009172BD">
        <w:rPr>
          <w:rFonts w:ascii="Arial" w:hAnsi="Arial"/>
          <w:b/>
          <w:sz w:val="24"/>
        </w:rPr>
        <w:t>Hazardous Waste Management Program</w:t>
      </w:r>
    </w:p>
    <w:p w14:paraId="46EEA163" w14:textId="77777777" w:rsidR="00E206B2" w:rsidRPr="009172BD" w:rsidRDefault="00E206B2" w:rsidP="00E206B2">
      <w:pPr>
        <w:spacing w:after="0" w:line="240" w:lineRule="auto"/>
        <w:jc w:val="center"/>
        <w:rPr>
          <w:rFonts w:ascii="Arial" w:hAnsi="Arial"/>
          <w:b/>
          <w:sz w:val="24"/>
        </w:rPr>
      </w:pPr>
      <w:r w:rsidRPr="009172BD">
        <w:rPr>
          <w:rFonts w:ascii="Arial" w:hAnsi="Arial"/>
          <w:b/>
          <w:sz w:val="24"/>
        </w:rPr>
        <w:t>Permitting Division</w:t>
      </w:r>
    </w:p>
    <w:p w14:paraId="4BB23917" w14:textId="77777777" w:rsidR="00E206B2" w:rsidRPr="009172BD" w:rsidRDefault="00E206B2" w:rsidP="00E206B2">
      <w:pPr>
        <w:spacing w:after="0" w:line="240" w:lineRule="auto"/>
        <w:jc w:val="center"/>
        <w:rPr>
          <w:rFonts w:ascii="Arial" w:hAnsi="Arial"/>
          <w:b/>
          <w:sz w:val="24"/>
        </w:rPr>
      </w:pPr>
      <w:r w:rsidRPr="009172BD">
        <w:rPr>
          <w:rFonts w:ascii="Arial" w:hAnsi="Arial"/>
          <w:b/>
          <w:sz w:val="24"/>
        </w:rPr>
        <w:t>Workload Analysis FY 2018-19</w:t>
      </w:r>
    </w:p>
    <w:p w14:paraId="4E97BC40" w14:textId="0F45174D" w:rsidR="00E206B2" w:rsidRDefault="00E206B2" w:rsidP="0008326C">
      <w:pPr>
        <w:spacing w:after="90" w:line="240" w:lineRule="auto"/>
        <w:jc w:val="center"/>
        <w:rPr>
          <w:rFonts w:ascii="Arial" w:hAnsi="Arial" w:cs="Arial"/>
          <w:b/>
          <w:bCs/>
          <w:sz w:val="24"/>
          <w:szCs w:val="24"/>
        </w:rPr>
      </w:pPr>
      <w:r w:rsidRPr="009172BD">
        <w:rPr>
          <w:rFonts w:ascii="Arial" w:hAnsi="Arial"/>
          <w:sz w:val="24"/>
        </w:rPr>
        <w:t>Key Findings</w:t>
      </w:r>
    </w:p>
    <w:p w14:paraId="0183D8C1" w14:textId="77777777" w:rsidR="00527682" w:rsidRDefault="00527682" w:rsidP="007F1EBC">
      <w:pPr>
        <w:spacing w:after="90" w:line="240" w:lineRule="auto"/>
        <w:rPr>
          <w:rFonts w:ascii="Arial" w:hAnsi="Arial" w:cs="Arial"/>
          <w:b/>
          <w:bCs/>
          <w:sz w:val="24"/>
          <w:szCs w:val="24"/>
        </w:rPr>
      </w:pPr>
    </w:p>
    <w:p w14:paraId="7DC89353" w14:textId="1C339264" w:rsidR="004313D0" w:rsidRPr="007F1EBC" w:rsidRDefault="004313D0" w:rsidP="007F1EBC">
      <w:pPr>
        <w:spacing w:after="90" w:line="240" w:lineRule="auto"/>
        <w:rPr>
          <w:rFonts w:ascii="Arial" w:hAnsi="Arial" w:cs="Arial"/>
          <w:b/>
          <w:bCs/>
          <w:sz w:val="24"/>
          <w:szCs w:val="24"/>
        </w:rPr>
      </w:pPr>
      <w:r w:rsidRPr="007F1EBC">
        <w:rPr>
          <w:rFonts w:ascii="Arial" w:hAnsi="Arial" w:cs="Arial"/>
          <w:b/>
          <w:bCs/>
          <w:sz w:val="24"/>
          <w:szCs w:val="24"/>
        </w:rPr>
        <w:t>Background</w:t>
      </w:r>
    </w:p>
    <w:p w14:paraId="57E54691" w14:textId="6DCA8518" w:rsidR="008A4C4B" w:rsidRPr="007F1EBC" w:rsidRDefault="002A7CEC" w:rsidP="0070267C">
      <w:p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DTSC is mandated to implement the hazardous waste permitting program in California</w:t>
      </w:r>
      <w:r w:rsidR="00D37BE0" w:rsidRPr="007F1EBC">
        <w:rPr>
          <w:rFonts w:ascii="Arial" w:eastAsia="+mn-ea" w:hAnsi="Arial" w:cs="Arial"/>
          <w:color w:val="000000"/>
          <w:kern w:val="24"/>
          <w:sz w:val="24"/>
          <w:szCs w:val="24"/>
        </w:rPr>
        <w:t>.</w:t>
      </w:r>
      <w:r w:rsidR="00E554C0">
        <w:rPr>
          <w:rStyle w:val="FootnoteReference"/>
          <w:rFonts w:ascii="Arial" w:eastAsia="+mn-ea" w:hAnsi="Arial" w:cs="Arial"/>
          <w:color w:val="000000"/>
          <w:kern w:val="24"/>
          <w:sz w:val="24"/>
          <w:szCs w:val="24"/>
        </w:rPr>
        <w:footnoteReference w:id="2"/>
      </w:r>
      <w:r w:rsidR="00EB23E7" w:rsidRPr="007F1EBC">
        <w:rPr>
          <w:rFonts w:ascii="Arial" w:eastAsia="+mn-ea" w:hAnsi="Arial" w:cs="Arial"/>
          <w:color w:val="000000"/>
          <w:kern w:val="24"/>
          <w:sz w:val="24"/>
          <w:szCs w:val="24"/>
        </w:rPr>
        <w:t xml:space="preserve"> </w:t>
      </w:r>
      <w:r w:rsidR="00C7439B" w:rsidRPr="007F1EBC">
        <w:rPr>
          <w:rFonts w:ascii="Arial" w:eastAsia="+mn-ea" w:hAnsi="Arial" w:cs="Arial"/>
          <w:color w:val="000000"/>
          <w:kern w:val="24"/>
          <w:sz w:val="24"/>
          <w:szCs w:val="24"/>
        </w:rPr>
        <w:t xml:space="preserve">The </w:t>
      </w:r>
      <w:r w:rsidR="00EC11D5" w:rsidRPr="007F1EBC">
        <w:rPr>
          <w:rFonts w:ascii="Arial" w:eastAsia="+mn-ea" w:hAnsi="Arial" w:cs="Arial"/>
          <w:color w:val="000000"/>
          <w:kern w:val="24"/>
          <w:sz w:val="24"/>
          <w:szCs w:val="24"/>
        </w:rPr>
        <w:t>Permitting Division</w:t>
      </w:r>
      <w:r w:rsidR="00411C7D" w:rsidRPr="007F1EBC">
        <w:rPr>
          <w:rFonts w:ascii="Arial" w:eastAsia="+mn-ea" w:hAnsi="Arial" w:cs="Arial"/>
          <w:color w:val="000000"/>
          <w:kern w:val="24"/>
          <w:sz w:val="24"/>
          <w:szCs w:val="24"/>
        </w:rPr>
        <w:t xml:space="preserve"> </w:t>
      </w:r>
      <w:r w:rsidR="008815E1" w:rsidRPr="007F1EBC">
        <w:rPr>
          <w:rFonts w:ascii="Arial" w:eastAsia="+mn-ea" w:hAnsi="Arial" w:cs="Arial"/>
          <w:color w:val="000000"/>
          <w:kern w:val="24"/>
          <w:sz w:val="24"/>
          <w:szCs w:val="24"/>
        </w:rPr>
        <w:t xml:space="preserve">(Permitting) </w:t>
      </w:r>
      <w:r w:rsidR="00C7439B" w:rsidRPr="007F1EBC">
        <w:rPr>
          <w:rFonts w:ascii="Arial" w:eastAsia="+mn-ea" w:hAnsi="Arial" w:cs="Arial"/>
          <w:color w:val="000000"/>
          <w:kern w:val="24"/>
          <w:sz w:val="24"/>
          <w:szCs w:val="24"/>
        </w:rPr>
        <w:t xml:space="preserve">under DTSC’s Hazardous Waste Management Program </w:t>
      </w:r>
      <w:r w:rsidR="00DF12BD" w:rsidRPr="007F1EBC">
        <w:rPr>
          <w:rFonts w:ascii="Arial" w:eastAsia="+mn-ea" w:hAnsi="Arial" w:cs="Arial"/>
          <w:color w:val="000000"/>
          <w:kern w:val="24"/>
          <w:sz w:val="24"/>
          <w:szCs w:val="24"/>
        </w:rPr>
        <w:t>makes</w:t>
      </w:r>
      <w:r w:rsidR="00205E09" w:rsidRPr="007F1EBC">
        <w:rPr>
          <w:rFonts w:ascii="Arial" w:eastAsia="+mn-ea" w:hAnsi="Arial" w:cs="Arial"/>
          <w:color w:val="000000"/>
          <w:kern w:val="24"/>
          <w:sz w:val="24"/>
          <w:szCs w:val="24"/>
        </w:rPr>
        <w:t xml:space="preserve"> </w:t>
      </w:r>
      <w:r w:rsidR="00DF12BD" w:rsidRPr="007F1EBC">
        <w:rPr>
          <w:rFonts w:ascii="Arial" w:eastAsia="+mn-ea" w:hAnsi="Arial" w:cs="Arial"/>
          <w:color w:val="000000"/>
          <w:kern w:val="24"/>
          <w:sz w:val="24"/>
          <w:szCs w:val="24"/>
        </w:rPr>
        <w:t>permitting</w:t>
      </w:r>
      <w:r w:rsidR="00205E09" w:rsidRPr="007F1EBC">
        <w:rPr>
          <w:rFonts w:ascii="Arial" w:eastAsia="+mn-ea" w:hAnsi="Arial" w:cs="Arial"/>
          <w:color w:val="000000"/>
          <w:kern w:val="24"/>
          <w:sz w:val="24"/>
          <w:szCs w:val="24"/>
        </w:rPr>
        <w:t xml:space="preserve"> </w:t>
      </w:r>
      <w:r w:rsidR="00DF12BD" w:rsidRPr="007F1EBC">
        <w:rPr>
          <w:rFonts w:ascii="Arial" w:eastAsia="+mn-ea" w:hAnsi="Arial" w:cs="Arial"/>
          <w:color w:val="000000"/>
          <w:kern w:val="24"/>
          <w:sz w:val="24"/>
          <w:szCs w:val="24"/>
        </w:rPr>
        <w:t>decisions</w:t>
      </w:r>
      <w:r w:rsidR="00205E09" w:rsidRPr="007F1EBC">
        <w:rPr>
          <w:rFonts w:ascii="Arial" w:eastAsia="+mn-ea" w:hAnsi="Arial" w:cs="Arial"/>
          <w:color w:val="000000"/>
          <w:kern w:val="24"/>
          <w:sz w:val="24"/>
          <w:szCs w:val="24"/>
        </w:rPr>
        <w:t xml:space="preserve"> </w:t>
      </w:r>
      <w:r w:rsidR="00DF12BD" w:rsidRPr="007F1EBC">
        <w:rPr>
          <w:rFonts w:ascii="Arial" w:eastAsia="+mn-ea" w:hAnsi="Arial" w:cs="Arial"/>
          <w:color w:val="000000"/>
          <w:kern w:val="24"/>
          <w:sz w:val="24"/>
          <w:szCs w:val="24"/>
        </w:rPr>
        <w:t>and oversees operation, closure</w:t>
      </w:r>
      <w:r w:rsidR="001D60EB" w:rsidRPr="007F1EBC">
        <w:rPr>
          <w:rFonts w:ascii="Arial" w:eastAsia="+mn-ea" w:hAnsi="Arial" w:cs="Arial"/>
          <w:color w:val="000000"/>
          <w:kern w:val="24"/>
          <w:sz w:val="24"/>
          <w:szCs w:val="24"/>
        </w:rPr>
        <w:t>,</w:t>
      </w:r>
      <w:r w:rsidR="00DF12BD" w:rsidRPr="007F1EBC">
        <w:rPr>
          <w:rFonts w:ascii="Arial" w:eastAsia="+mn-ea" w:hAnsi="Arial" w:cs="Arial"/>
          <w:color w:val="000000"/>
          <w:kern w:val="24"/>
          <w:sz w:val="24"/>
          <w:szCs w:val="24"/>
        </w:rPr>
        <w:t xml:space="preserve"> and post-closure activities at </w:t>
      </w:r>
      <w:r w:rsidR="00EA7AE5">
        <w:rPr>
          <w:rFonts w:ascii="Arial" w:eastAsia="+mn-ea" w:hAnsi="Arial" w:cs="Arial"/>
          <w:color w:val="000000"/>
          <w:kern w:val="24"/>
          <w:sz w:val="24"/>
          <w:szCs w:val="24"/>
        </w:rPr>
        <w:t>approximately 100</w:t>
      </w:r>
      <w:r w:rsidR="00DF12BD" w:rsidRPr="007F1EBC">
        <w:rPr>
          <w:rFonts w:ascii="Arial" w:eastAsia="+mn-ea" w:hAnsi="Arial" w:cs="Arial"/>
          <w:color w:val="000000"/>
          <w:kern w:val="24"/>
          <w:sz w:val="24"/>
          <w:szCs w:val="24"/>
        </w:rPr>
        <w:t xml:space="preserve"> facilities that treat, store, and dispose of hazardous waste in California</w:t>
      </w:r>
      <w:r w:rsidR="00D56D0A" w:rsidRPr="007F1EBC">
        <w:rPr>
          <w:rFonts w:ascii="Arial" w:eastAsia="+mn-ea" w:hAnsi="Arial" w:cs="Arial"/>
          <w:color w:val="000000"/>
          <w:kern w:val="24"/>
          <w:sz w:val="24"/>
          <w:szCs w:val="24"/>
        </w:rPr>
        <w:t>.</w:t>
      </w:r>
      <w:r w:rsidR="009A6356" w:rsidRPr="007F1EBC">
        <w:rPr>
          <w:rFonts w:ascii="Arial" w:eastAsia="+mn-ea" w:hAnsi="Arial" w:cs="Arial"/>
          <w:color w:val="000000"/>
          <w:kern w:val="24"/>
          <w:sz w:val="24"/>
          <w:szCs w:val="24"/>
        </w:rPr>
        <w:t xml:space="preserve"> </w:t>
      </w:r>
    </w:p>
    <w:p w14:paraId="6484D8C6" w14:textId="10CB5A91" w:rsidR="00EB23E7" w:rsidRPr="007F1EBC" w:rsidRDefault="00AC46A1" w:rsidP="0070267C">
      <w:p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In</w:t>
      </w:r>
      <w:r w:rsidR="00EB23E7" w:rsidRPr="007F1EBC">
        <w:rPr>
          <w:rFonts w:ascii="Arial" w:eastAsia="+mn-ea" w:hAnsi="Arial" w:cs="Arial"/>
          <w:color w:val="000000"/>
          <w:kern w:val="24"/>
          <w:sz w:val="24"/>
          <w:szCs w:val="24"/>
        </w:rPr>
        <w:t xml:space="preserve"> fulling its statutory mandates, in FY 2018-19 Permitting:</w:t>
      </w:r>
    </w:p>
    <w:p w14:paraId="577D06E9" w14:textId="4510C943" w:rsidR="00EB23E7" w:rsidRPr="007F1EBC" w:rsidRDefault="00EB23E7" w:rsidP="0070267C">
      <w:pPr>
        <w:numPr>
          <w:ilvl w:val="0"/>
          <w:numId w:val="19"/>
        </w:numPr>
        <w:spacing w:after="90" w:line="240" w:lineRule="auto"/>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Issued 18 permit decisions for renewals, Class 2, and Class 3 permit modifications, many of which are in </w:t>
      </w:r>
      <w:r w:rsidR="00B95FBC" w:rsidRPr="007F1EBC">
        <w:rPr>
          <w:rFonts w:ascii="Arial" w:eastAsia="+mn-ea" w:hAnsi="Arial" w:cs="Arial"/>
          <w:color w:val="000000"/>
          <w:kern w:val="24"/>
          <w:sz w:val="24"/>
          <w:szCs w:val="24"/>
        </w:rPr>
        <w:t>e</w:t>
      </w:r>
      <w:r w:rsidRPr="007F1EBC">
        <w:rPr>
          <w:rFonts w:ascii="Arial" w:eastAsia="+mn-ea" w:hAnsi="Arial" w:cs="Arial"/>
          <w:color w:val="000000"/>
          <w:kern w:val="24"/>
          <w:sz w:val="24"/>
          <w:szCs w:val="24"/>
        </w:rPr>
        <w:t xml:space="preserve">nvironmental </w:t>
      </w:r>
      <w:r w:rsidR="00B95FBC" w:rsidRPr="007F1EBC">
        <w:rPr>
          <w:rFonts w:ascii="Arial" w:eastAsia="+mn-ea" w:hAnsi="Arial" w:cs="Arial"/>
          <w:color w:val="000000"/>
          <w:kern w:val="24"/>
          <w:sz w:val="24"/>
          <w:szCs w:val="24"/>
        </w:rPr>
        <w:t>j</w:t>
      </w:r>
      <w:r w:rsidRPr="007F1EBC">
        <w:rPr>
          <w:rFonts w:ascii="Arial" w:eastAsia="+mn-ea" w:hAnsi="Arial" w:cs="Arial"/>
          <w:color w:val="000000"/>
          <w:kern w:val="24"/>
          <w:sz w:val="24"/>
          <w:szCs w:val="24"/>
        </w:rPr>
        <w:t xml:space="preserve">ustice communities. These are communities most vulnerable and impacted by multiple sources of pollution. </w:t>
      </w:r>
    </w:p>
    <w:p w14:paraId="727EF075" w14:textId="77777777" w:rsidR="00EB23E7" w:rsidRPr="007F1EBC" w:rsidRDefault="00EB23E7" w:rsidP="0070267C">
      <w:pPr>
        <w:numPr>
          <w:ilvl w:val="0"/>
          <w:numId w:val="19"/>
        </w:numPr>
        <w:spacing w:after="90" w:line="240" w:lineRule="auto"/>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Performed permit maintenance activities, including review of groundwater monitoring reports, air monitoring studies, and closure cost estimates.  </w:t>
      </w:r>
    </w:p>
    <w:p w14:paraId="0ADBB437" w14:textId="5D13DFF3" w:rsidR="00EB23E7" w:rsidRPr="007F1EBC" w:rsidRDefault="00EB23E7" w:rsidP="0070267C">
      <w:pPr>
        <w:numPr>
          <w:ilvl w:val="0"/>
          <w:numId w:val="19"/>
        </w:numPr>
        <w:spacing w:after="90" w:line="240" w:lineRule="auto"/>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Reviewed plans, oversaw field activities, and reviewed reports related to closure of 12 facilities.  </w:t>
      </w:r>
    </w:p>
    <w:p w14:paraId="299D5143" w14:textId="5E8342EB" w:rsidR="00EB23E7" w:rsidRPr="007F1EBC" w:rsidRDefault="00EB23E7" w:rsidP="0070267C">
      <w:pPr>
        <w:numPr>
          <w:ilvl w:val="0"/>
          <w:numId w:val="19"/>
        </w:num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Performed and implemented </w:t>
      </w:r>
      <w:r w:rsidR="0054456C" w:rsidRPr="007F1EBC">
        <w:rPr>
          <w:rFonts w:ascii="Arial" w:eastAsia="+mn-ea" w:hAnsi="Arial" w:cs="Arial"/>
          <w:color w:val="000000"/>
          <w:kern w:val="24"/>
          <w:sz w:val="24"/>
          <w:szCs w:val="24"/>
        </w:rPr>
        <w:t>four</w:t>
      </w:r>
      <w:r w:rsidRPr="007F1EBC">
        <w:rPr>
          <w:rFonts w:ascii="Arial" w:eastAsia="+mn-ea" w:hAnsi="Arial" w:cs="Arial"/>
          <w:color w:val="000000"/>
          <w:kern w:val="24"/>
          <w:sz w:val="24"/>
          <w:szCs w:val="24"/>
        </w:rPr>
        <w:t xml:space="preserve"> process improvement initiatives to make the permitting processes more efficient, protective, and transparent.</w:t>
      </w:r>
    </w:p>
    <w:p w14:paraId="5E8E7CB6" w14:textId="0AF29A15" w:rsidR="00C7439B" w:rsidRPr="007F1EBC" w:rsidRDefault="001F4BD8" w:rsidP="0070267C">
      <w:p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Permitting’s </w:t>
      </w:r>
      <w:r w:rsidR="00994B7D" w:rsidRPr="007F1EBC">
        <w:rPr>
          <w:rFonts w:ascii="Arial" w:eastAsia="+mn-ea" w:hAnsi="Arial" w:cs="Arial"/>
          <w:color w:val="000000"/>
          <w:kern w:val="24"/>
          <w:sz w:val="24"/>
          <w:szCs w:val="24"/>
        </w:rPr>
        <w:t xml:space="preserve">Financial Responsibility </w:t>
      </w:r>
      <w:r w:rsidR="00922FFE" w:rsidRPr="007F1EBC">
        <w:rPr>
          <w:rFonts w:ascii="Arial" w:eastAsia="+mn-ea" w:hAnsi="Arial" w:cs="Arial"/>
          <w:color w:val="000000"/>
          <w:kern w:val="24"/>
          <w:sz w:val="24"/>
          <w:szCs w:val="24"/>
        </w:rPr>
        <w:t>u</w:t>
      </w:r>
      <w:r w:rsidR="00994B7D" w:rsidRPr="007F1EBC">
        <w:rPr>
          <w:rFonts w:ascii="Arial" w:eastAsia="+mn-ea" w:hAnsi="Arial" w:cs="Arial"/>
          <w:color w:val="000000"/>
          <w:kern w:val="24"/>
          <w:sz w:val="24"/>
          <w:szCs w:val="24"/>
        </w:rPr>
        <w:t xml:space="preserve">nit holds and maintains financial </w:t>
      </w:r>
      <w:r w:rsidR="00C27F61" w:rsidRPr="007F1EBC">
        <w:rPr>
          <w:rFonts w:ascii="Arial" w:eastAsia="+mn-ea" w:hAnsi="Arial" w:cs="Arial"/>
          <w:color w:val="000000"/>
          <w:kern w:val="24"/>
          <w:sz w:val="24"/>
          <w:szCs w:val="24"/>
        </w:rPr>
        <w:t xml:space="preserve">assurance </w:t>
      </w:r>
      <w:r w:rsidR="00994B7D" w:rsidRPr="007F1EBC">
        <w:rPr>
          <w:rFonts w:ascii="Arial" w:eastAsia="+mn-ea" w:hAnsi="Arial" w:cs="Arial"/>
          <w:color w:val="000000"/>
          <w:kern w:val="24"/>
          <w:sz w:val="24"/>
          <w:szCs w:val="24"/>
        </w:rPr>
        <w:t xml:space="preserve">mechanisms </w:t>
      </w:r>
      <w:r w:rsidR="00C27F61" w:rsidRPr="007F1EBC">
        <w:rPr>
          <w:rFonts w:ascii="Arial" w:eastAsia="+mn-ea" w:hAnsi="Arial" w:cs="Arial"/>
          <w:color w:val="000000"/>
          <w:kern w:val="24"/>
          <w:sz w:val="24"/>
          <w:szCs w:val="24"/>
        </w:rPr>
        <w:t xml:space="preserve">totaling $2.5 billion </w:t>
      </w:r>
      <w:r w:rsidR="00994B7D" w:rsidRPr="007F1EBC">
        <w:rPr>
          <w:rFonts w:ascii="Arial" w:eastAsia="+mn-ea" w:hAnsi="Arial" w:cs="Arial"/>
          <w:color w:val="000000"/>
          <w:kern w:val="24"/>
          <w:sz w:val="24"/>
          <w:szCs w:val="24"/>
        </w:rPr>
        <w:t xml:space="preserve">for over </w:t>
      </w:r>
      <w:r w:rsidR="004323B4" w:rsidRPr="007F1EBC">
        <w:rPr>
          <w:rFonts w:ascii="Arial" w:eastAsia="+mn-ea" w:hAnsi="Arial" w:cs="Arial"/>
          <w:color w:val="000000"/>
          <w:kern w:val="24"/>
          <w:sz w:val="24"/>
          <w:szCs w:val="24"/>
        </w:rPr>
        <w:t xml:space="preserve">450 </w:t>
      </w:r>
      <w:r w:rsidR="00994B7D" w:rsidRPr="007F1EBC">
        <w:rPr>
          <w:rFonts w:ascii="Arial" w:eastAsia="+mn-ea" w:hAnsi="Arial" w:cs="Arial"/>
          <w:color w:val="000000"/>
          <w:kern w:val="24"/>
          <w:sz w:val="24"/>
          <w:szCs w:val="24"/>
        </w:rPr>
        <w:t>facilities</w:t>
      </w:r>
      <w:r w:rsidR="00C27F61" w:rsidRPr="007F1EBC">
        <w:rPr>
          <w:rFonts w:ascii="Arial" w:eastAsia="+mn-ea" w:hAnsi="Arial" w:cs="Arial"/>
          <w:color w:val="000000"/>
          <w:kern w:val="24"/>
          <w:sz w:val="24"/>
          <w:szCs w:val="24"/>
        </w:rPr>
        <w:t xml:space="preserve"> or </w:t>
      </w:r>
      <w:r w:rsidR="00994B7D" w:rsidRPr="007F1EBC">
        <w:rPr>
          <w:rFonts w:ascii="Arial" w:eastAsia="+mn-ea" w:hAnsi="Arial" w:cs="Arial"/>
          <w:color w:val="000000"/>
          <w:kern w:val="24"/>
          <w:sz w:val="24"/>
          <w:szCs w:val="24"/>
        </w:rPr>
        <w:t>sites. Th</w:t>
      </w:r>
      <w:r w:rsidR="00C27F61" w:rsidRPr="007F1EBC">
        <w:rPr>
          <w:rFonts w:ascii="Arial" w:eastAsia="+mn-ea" w:hAnsi="Arial" w:cs="Arial"/>
          <w:color w:val="000000"/>
          <w:kern w:val="24"/>
          <w:sz w:val="24"/>
          <w:szCs w:val="24"/>
        </w:rPr>
        <w:t>e</w:t>
      </w:r>
      <w:r w:rsidR="00994B7D" w:rsidRPr="007F1EBC">
        <w:rPr>
          <w:rFonts w:ascii="Arial" w:eastAsia="+mn-ea" w:hAnsi="Arial" w:cs="Arial"/>
          <w:color w:val="000000"/>
          <w:kern w:val="24"/>
          <w:sz w:val="24"/>
          <w:szCs w:val="24"/>
        </w:rPr>
        <w:t xml:space="preserve"> unit also supports other </w:t>
      </w:r>
      <w:r w:rsidR="00C27F61" w:rsidRPr="007F1EBC">
        <w:rPr>
          <w:rFonts w:ascii="Arial" w:eastAsia="+mn-ea" w:hAnsi="Arial" w:cs="Arial"/>
          <w:color w:val="000000"/>
          <w:kern w:val="24"/>
          <w:sz w:val="24"/>
          <w:szCs w:val="24"/>
        </w:rPr>
        <w:t xml:space="preserve">DTSC </w:t>
      </w:r>
      <w:r w:rsidR="00994B7D" w:rsidRPr="007F1EBC">
        <w:rPr>
          <w:rFonts w:ascii="Arial" w:eastAsia="+mn-ea" w:hAnsi="Arial" w:cs="Arial"/>
          <w:color w:val="000000"/>
          <w:kern w:val="24"/>
          <w:sz w:val="24"/>
          <w:szCs w:val="24"/>
        </w:rPr>
        <w:t>programs</w:t>
      </w:r>
      <w:r w:rsidR="00C27F61" w:rsidRPr="007F1EBC">
        <w:rPr>
          <w:rFonts w:ascii="Arial" w:eastAsia="+mn-ea" w:hAnsi="Arial" w:cs="Arial"/>
          <w:color w:val="000000"/>
          <w:kern w:val="24"/>
          <w:sz w:val="24"/>
          <w:szCs w:val="24"/>
        </w:rPr>
        <w:t>,</w:t>
      </w:r>
      <w:r w:rsidR="00994B7D" w:rsidRPr="007F1EBC">
        <w:rPr>
          <w:rFonts w:ascii="Arial" w:eastAsia="+mn-ea" w:hAnsi="Arial" w:cs="Arial"/>
          <w:color w:val="000000"/>
          <w:kern w:val="24"/>
          <w:sz w:val="24"/>
          <w:szCs w:val="24"/>
        </w:rPr>
        <w:t xml:space="preserve"> such as </w:t>
      </w:r>
      <w:r w:rsidR="007F01CA" w:rsidRPr="007F1EBC">
        <w:rPr>
          <w:rFonts w:ascii="Arial" w:eastAsia="+mn-ea" w:hAnsi="Arial" w:cs="Arial"/>
          <w:color w:val="000000"/>
          <w:kern w:val="24"/>
          <w:sz w:val="24"/>
          <w:szCs w:val="24"/>
        </w:rPr>
        <w:t xml:space="preserve">Statewide </w:t>
      </w:r>
      <w:r w:rsidR="00994B7D" w:rsidRPr="007F1EBC">
        <w:rPr>
          <w:rFonts w:ascii="Arial" w:eastAsia="+mn-ea" w:hAnsi="Arial" w:cs="Arial"/>
          <w:color w:val="000000"/>
          <w:kern w:val="24"/>
          <w:sz w:val="24"/>
          <w:szCs w:val="24"/>
        </w:rPr>
        <w:t xml:space="preserve">Enforcement and </w:t>
      </w:r>
      <w:r w:rsidR="001D60EB" w:rsidRPr="007F1EBC">
        <w:rPr>
          <w:rFonts w:ascii="Arial" w:eastAsia="+mn-ea" w:hAnsi="Arial" w:cs="Arial"/>
          <w:color w:val="000000"/>
          <w:kern w:val="24"/>
          <w:sz w:val="24"/>
          <w:szCs w:val="24"/>
        </w:rPr>
        <w:t>Site Mitigation and Restoration</w:t>
      </w:r>
      <w:r w:rsidR="00994B7D" w:rsidRPr="007F1EBC">
        <w:rPr>
          <w:rFonts w:ascii="Arial" w:eastAsia="+mn-ea" w:hAnsi="Arial" w:cs="Arial"/>
          <w:color w:val="000000"/>
          <w:kern w:val="24"/>
          <w:sz w:val="24"/>
          <w:szCs w:val="24"/>
        </w:rPr>
        <w:t xml:space="preserve">.  </w:t>
      </w:r>
    </w:p>
    <w:p w14:paraId="73D89E77" w14:textId="64A8974E" w:rsidR="00DF12BD" w:rsidRPr="007F1EBC" w:rsidRDefault="001930FE" w:rsidP="0070267C">
      <w:p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Permitting’s </w:t>
      </w:r>
      <w:r w:rsidR="009A6356" w:rsidRPr="007F1EBC">
        <w:rPr>
          <w:rFonts w:ascii="Arial" w:eastAsia="+mn-ea" w:hAnsi="Arial" w:cs="Arial"/>
          <w:color w:val="000000"/>
          <w:kern w:val="24"/>
          <w:sz w:val="24"/>
          <w:szCs w:val="24"/>
        </w:rPr>
        <w:t>CEQA</w:t>
      </w:r>
      <w:r w:rsidR="00A554B3" w:rsidRPr="007F1EBC">
        <w:rPr>
          <w:rFonts w:ascii="Arial" w:eastAsia="+mn-ea" w:hAnsi="Arial" w:cs="Arial"/>
          <w:color w:val="000000"/>
          <w:kern w:val="24"/>
          <w:sz w:val="24"/>
          <w:szCs w:val="24"/>
        </w:rPr>
        <w:t xml:space="preserve"> </w:t>
      </w:r>
      <w:r w:rsidR="00922FFE" w:rsidRPr="007F1EBC">
        <w:rPr>
          <w:rFonts w:ascii="Arial" w:eastAsia="+mn-ea" w:hAnsi="Arial" w:cs="Arial"/>
          <w:color w:val="000000"/>
          <w:kern w:val="24"/>
          <w:sz w:val="24"/>
          <w:szCs w:val="24"/>
        </w:rPr>
        <w:t>u</w:t>
      </w:r>
      <w:r w:rsidR="00A554B3" w:rsidRPr="007F1EBC">
        <w:rPr>
          <w:rFonts w:ascii="Arial" w:eastAsia="+mn-ea" w:hAnsi="Arial" w:cs="Arial"/>
          <w:color w:val="000000"/>
          <w:kern w:val="24"/>
          <w:sz w:val="24"/>
          <w:szCs w:val="24"/>
        </w:rPr>
        <w:t xml:space="preserve">nit </w:t>
      </w:r>
      <w:r w:rsidR="00DF12BD" w:rsidRPr="007F1EBC">
        <w:rPr>
          <w:rFonts w:ascii="Arial" w:eastAsia="+mn-ea" w:hAnsi="Arial" w:cs="Arial"/>
          <w:color w:val="000000"/>
          <w:kern w:val="24"/>
          <w:sz w:val="24"/>
          <w:szCs w:val="24"/>
        </w:rPr>
        <w:t xml:space="preserve">evaluates every decision regarding the operation of a hazardous waste facility in accordance with CEQA and performs CEQA analysis to support discretionary decisions of other DTSC programs. </w:t>
      </w:r>
      <w:r w:rsidR="00361095" w:rsidRPr="007F1EBC">
        <w:rPr>
          <w:rFonts w:ascii="Arial" w:eastAsia="+mn-ea" w:hAnsi="Arial" w:cs="Arial"/>
          <w:color w:val="000000"/>
          <w:kern w:val="24"/>
          <w:sz w:val="24"/>
          <w:szCs w:val="24"/>
        </w:rPr>
        <w:t xml:space="preserve">The unit </w:t>
      </w:r>
      <w:r w:rsidR="00762A9F" w:rsidRPr="007F1EBC">
        <w:rPr>
          <w:rFonts w:ascii="Arial" w:eastAsia="+mn-ea" w:hAnsi="Arial" w:cs="Arial"/>
          <w:color w:val="000000"/>
          <w:kern w:val="24"/>
          <w:sz w:val="24"/>
          <w:szCs w:val="24"/>
        </w:rPr>
        <w:t>also coordinates requests from California government entities to review CEQA documents for hazardous waste impacts related to their</w:t>
      </w:r>
      <w:r w:rsidR="00B1043A" w:rsidRPr="007F1EBC">
        <w:rPr>
          <w:rFonts w:ascii="Arial" w:eastAsia="+mn-ea" w:hAnsi="Arial" w:cs="Arial"/>
          <w:color w:val="000000"/>
          <w:kern w:val="24"/>
          <w:sz w:val="24"/>
          <w:szCs w:val="24"/>
        </w:rPr>
        <w:t xml:space="preserve"> </w:t>
      </w:r>
      <w:r w:rsidR="006D0BA9" w:rsidRPr="007F1EBC">
        <w:rPr>
          <w:rFonts w:ascii="Arial" w:eastAsia="+mn-ea" w:hAnsi="Arial" w:cs="Arial"/>
          <w:color w:val="000000"/>
          <w:kern w:val="24"/>
          <w:sz w:val="24"/>
          <w:szCs w:val="24"/>
        </w:rPr>
        <w:t>work</w:t>
      </w:r>
      <w:r w:rsidR="00762A9F" w:rsidRPr="007F1EBC">
        <w:rPr>
          <w:rFonts w:ascii="Arial" w:eastAsia="+mn-ea" w:hAnsi="Arial" w:cs="Arial"/>
          <w:color w:val="000000"/>
          <w:kern w:val="24"/>
          <w:sz w:val="24"/>
          <w:szCs w:val="24"/>
        </w:rPr>
        <w:t>.</w:t>
      </w:r>
      <w:r w:rsidR="000D4413" w:rsidRPr="007F1EBC">
        <w:rPr>
          <w:rFonts w:ascii="Arial" w:eastAsia="+mn-ea" w:hAnsi="Arial" w:cs="Arial"/>
          <w:color w:val="000000"/>
          <w:kern w:val="24"/>
          <w:sz w:val="24"/>
          <w:szCs w:val="24"/>
        </w:rPr>
        <w:t xml:space="preserve"> In FY 2018-19, the Permitting CEQA </w:t>
      </w:r>
      <w:r w:rsidR="00922FFE" w:rsidRPr="007F1EBC">
        <w:rPr>
          <w:rFonts w:ascii="Arial" w:eastAsia="+mn-ea" w:hAnsi="Arial" w:cs="Arial"/>
          <w:color w:val="000000"/>
          <w:kern w:val="24"/>
          <w:sz w:val="24"/>
          <w:szCs w:val="24"/>
        </w:rPr>
        <w:t>u</w:t>
      </w:r>
      <w:r w:rsidR="000D4413" w:rsidRPr="007F1EBC">
        <w:rPr>
          <w:rFonts w:ascii="Arial" w:eastAsia="+mn-ea" w:hAnsi="Arial" w:cs="Arial"/>
          <w:color w:val="000000"/>
          <w:kern w:val="24"/>
          <w:sz w:val="24"/>
          <w:szCs w:val="24"/>
        </w:rPr>
        <w:t xml:space="preserve">nit finalized </w:t>
      </w:r>
      <w:r w:rsidR="00A67CEF" w:rsidRPr="007F1EBC">
        <w:rPr>
          <w:rFonts w:ascii="Arial" w:eastAsia="+mn-ea" w:hAnsi="Arial" w:cs="Arial"/>
          <w:color w:val="000000"/>
          <w:kern w:val="24"/>
          <w:sz w:val="24"/>
          <w:szCs w:val="24"/>
        </w:rPr>
        <w:t>88</w:t>
      </w:r>
      <w:r w:rsidR="000D4413" w:rsidRPr="007F1EBC">
        <w:rPr>
          <w:rFonts w:ascii="Arial" w:eastAsia="+mn-ea" w:hAnsi="Arial" w:cs="Arial"/>
          <w:color w:val="000000"/>
          <w:kern w:val="24"/>
          <w:sz w:val="24"/>
          <w:szCs w:val="24"/>
        </w:rPr>
        <w:t xml:space="preserve"> CEQA documents.  </w:t>
      </w:r>
    </w:p>
    <w:p w14:paraId="5337B940" w14:textId="2FB2309F" w:rsidR="002258CF" w:rsidRPr="007F1EBC" w:rsidRDefault="009A6356" w:rsidP="0070267C">
      <w:pPr>
        <w:spacing w:after="90"/>
        <w:rPr>
          <w:rFonts w:ascii="Arial" w:eastAsia="+mn-ea" w:hAnsi="Arial" w:cs="Arial"/>
          <w:color w:val="000000"/>
          <w:kern w:val="24"/>
          <w:sz w:val="24"/>
          <w:szCs w:val="24"/>
        </w:rPr>
      </w:pPr>
      <w:r w:rsidRPr="007F1EBC">
        <w:rPr>
          <w:rFonts w:ascii="Arial" w:eastAsia="+mn-ea" w:hAnsi="Arial" w:cs="Arial"/>
          <w:color w:val="000000"/>
          <w:kern w:val="24"/>
          <w:sz w:val="24"/>
          <w:szCs w:val="24"/>
        </w:rPr>
        <w:t xml:space="preserve">Additionally, </w:t>
      </w:r>
      <w:r w:rsidR="00922FFE" w:rsidRPr="007F1EBC">
        <w:rPr>
          <w:rFonts w:ascii="Arial" w:eastAsia="+mn-ea" w:hAnsi="Arial" w:cs="Arial"/>
          <w:color w:val="000000"/>
          <w:kern w:val="24"/>
          <w:sz w:val="24"/>
          <w:szCs w:val="24"/>
        </w:rPr>
        <w:t>Senate Bill (SB) 673 (Lara, Chapter 611, Statute of 2015)</w:t>
      </w:r>
      <w:r w:rsidR="001F4BD8" w:rsidRPr="007F1EBC">
        <w:rPr>
          <w:rFonts w:ascii="Arial" w:eastAsia="+mn-ea" w:hAnsi="Arial" w:cs="Arial"/>
          <w:color w:val="000000"/>
          <w:kern w:val="24"/>
          <w:sz w:val="24"/>
          <w:szCs w:val="24"/>
        </w:rPr>
        <w:t xml:space="preserve"> required Permitting to establish and implement new permitting criteria to improve enforceability, transparency, and equity in permit decisions.</w:t>
      </w:r>
      <w:r w:rsidR="000D4413" w:rsidRPr="007F1EBC">
        <w:rPr>
          <w:rFonts w:ascii="Arial" w:eastAsia="+mn-ea" w:hAnsi="Arial" w:cs="Arial"/>
          <w:color w:val="000000"/>
          <w:kern w:val="24"/>
          <w:sz w:val="24"/>
          <w:szCs w:val="24"/>
        </w:rPr>
        <w:t xml:space="preserve"> </w:t>
      </w:r>
      <w:r w:rsidR="002258CF" w:rsidRPr="007F1EBC">
        <w:rPr>
          <w:rFonts w:ascii="Arial" w:eastAsia="+mn-ea" w:hAnsi="Arial" w:cs="Arial"/>
          <w:color w:val="000000"/>
          <w:kern w:val="24"/>
          <w:sz w:val="24"/>
          <w:szCs w:val="24"/>
        </w:rPr>
        <w:t>New Track 1 regulations were promulgated in 2017 that established five new permitting criteria. Track 2 regulations are under development for cumulative impacts and community vulnerability permit considerations.</w:t>
      </w:r>
    </w:p>
    <w:p w14:paraId="18CE1068" w14:textId="77777777" w:rsidR="00E554C0" w:rsidRPr="00BE4EFC" w:rsidRDefault="00E554C0" w:rsidP="0070267C">
      <w:pPr>
        <w:spacing w:after="90"/>
        <w:rPr>
          <w:rFonts w:ascii="Arial" w:hAnsi="Arial" w:cs="Arial"/>
          <w:sz w:val="24"/>
          <w:szCs w:val="24"/>
        </w:rPr>
      </w:pPr>
    </w:p>
    <w:p w14:paraId="3360640E" w14:textId="3A1F1019" w:rsidR="00E554C0" w:rsidRDefault="00E554C0" w:rsidP="0070267C">
      <w:pPr>
        <w:spacing w:after="90"/>
        <w:rPr>
          <w:rFonts w:ascii="Arial" w:hAnsi="Arial" w:cs="Arial"/>
          <w:sz w:val="24"/>
          <w:szCs w:val="24"/>
        </w:rPr>
      </w:pPr>
    </w:p>
    <w:p w14:paraId="54B95A76" w14:textId="77777777" w:rsidR="00527682" w:rsidRPr="00BE4EFC" w:rsidRDefault="00527682" w:rsidP="0070267C">
      <w:pPr>
        <w:spacing w:after="90"/>
        <w:rPr>
          <w:rFonts w:ascii="Arial" w:hAnsi="Arial" w:cs="Arial"/>
          <w:sz w:val="24"/>
          <w:szCs w:val="24"/>
        </w:rPr>
      </w:pPr>
    </w:p>
    <w:p w14:paraId="6C32C117" w14:textId="34581D14" w:rsidR="00F064D9" w:rsidRDefault="00F064D9" w:rsidP="0070267C">
      <w:pPr>
        <w:spacing w:after="90"/>
        <w:rPr>
          <w:rFonts w:ascii="Arial" w:hAnsi="Arial" w:cs="Arial"/>
          <w:b/>
          <w:bCs/>
          <w:sz w:val="24"/>
          <w:szCs w:val="24"/>
        </w:rPr>
      </w:pPr>
      <w:r w:rsidRPr="007F1EBC">
        <w:rPr>
          <w:rFonts w:ascii="Arial" w:hAnsi="Arial" w:cs="Arial"/>
          <w:b/>
          <w:bCs/>
          <w:sz w:val="24"/>
          <w:szCs w:val="24"/>
        </w:rPr>
        <w:lastRenderedPageBreak/>
        <w:t>Analysis</w:t>
      </w:r>
    </w:p>
    <w:p w14:paraId="6A3A7CEF" w14:textId="195F6792" w:rsidR="0083791C" w:rsidRDefault="0007733D" w:rsidP="0070267C">
      <w:pPr>
        <w:spacing w:after="90"/>
        <w:rPr>
          <w:rFonts w:ascii="Arial" w:hAnsi="Arial" w:cs="Arial"/>
          <w:sz w:val="24"/>
          <w:szCs w:val="24"/>
        </w:rPr>
      </w:pPr>
      <w:r w:rsidRPr="007F1EBC">
        <w:rPr>
          <w:rFonts w:ascii="Arial" w:hAnsi="Arial" w:cs="Arial"/>
          <w:sz w:val="24"/>
          <w:szCs w:val="24"/>
        </w:rPr>
        <w:t>In FY 2018-19, Permitting operated with a budget of</w:t>
      </w:r>
      <w:r w:rsidR="00957808" w:rsidRPr="007F1EBC">
        <w:rPr>
          <w:rFonts w:ascii="Arial" w:hAnsi="Arial" w:cs="Arial"/>
          <w:sz w:val="24"/>
          <w:szCs w:val="24"/>
        </w:rPr>
        <w:t xml:space="preserve"> </w:t>
      </w:r>
      <w:r w:rsidR="00EA7AE5">
        <w:rPr>
          <w:rFonts w:ascii="Arial" w:hAnsi="Arial" w:cs="Arial"/>
          <w:sz w:val="24"/>
          <w:szCs w:val="24"/>
        </w:rPr>
        <w:t>approximately $13</w:t>
      </w:r>
      <w:r w:rsidRPr="007F1EBC">
        <w:rPr>
          <w:rFonts w:ascii="Arial" w:hAnsi="Arial" w:cs="Arial"/>
          <w:sz w:val="24"/>
          <w:szCs w:val="24"/>
        </w:rPr>
        <w:t xml:space="preserve"> million and </w:t>
      </w:r>
      <w:r w:rsidR="00EA7AE5">
        <w:rPr>
          <w:rFonts w:ascii="Arial" w:hAnsi="Arial" w:cs="Arial"/>
          <w:sz w:val="24"/>
          <w:szCs w:val="24"/>
        </w:rPr>
        <w:t>67.5</w:t>
      </w:r>
      <w:r w:rsidR="00EA7AE5">
        <w:rPr>
          <w:rStyle w:val="FootnoteReference"/>
          <w:rFonts w:ascii="Arial" w:hAnsi="Arial" w:cs="Arial"/>
          <w:sz w:val="24"/>
          <w:szCs w:val="24"/>
        </w:rPr>
        <w:footnoteReference w:id="3"/>
      </w:r>
      <w:r w:rsidRPr="007F1EBC">
        <w:rPr>
          <w:rFonts w:ascii="Arial" w:hAnsi="Arial" w:cs="Arial"/>
          <w:sz w:val="24"/>
          <w:szCs w:val="24"/>
        </w:rPr>
        <w:t xml:space="preserve"> positions. </w:t>
      </w:r>
      <w:r w:rsidR="0083791C">
        <w:rPr>
          <w:rFonts w:ascii="Arial" w:hAnsi="Arial" w:cs="Arial"/>
          <w:sz w:val="24"/>
          <w:szCs w:val="24"/>
        </w:rPr>
        <w:t>Sixty-five percent of available employee hours were dedicated to technical work related to permitting projects, CE</w:t>
      </w:r>
      <w:r w:rsidR="00E554C0">
        <w:rPr>
          <w:rFonts w:ascii="Arial" w:hAnsi="Arial" w:cs="Arial"/>
          <w:sz w:val="24"/>
          <w:szCs w:val="24"/>
        </w:rPr>
        <w:t>Q</w:t>
      </w:r>
      <w:r w:rsidR="0083791C">
        <w:rPr>
          <w:rFonts w:ascii="Arial" w:hAnsi="Arial" w:cs="Arial"/>
          <w:sz w:val="24"/>
          <w:szCs w:val="24"/>
        </w:rPr>
        <w:t xml:space="preserve">A evaluations, financial responsibility, consultation and outreach, corrective action, support of the Site Mitigation and Restoration Program, and implementing the requirements of the Violations Scoring Procedure under SB 673.  The remaining available work hours were spent dedicated to essential work such as training and program development, Lean-6-Sigma projects, and legislatively-mandated reforms.  </w:t>
      </w:r>
    </w:p>
    <w:p w14:paraId="38B98DC7" w14:textId="01B72607" w:rsidR="00EA3FBA" w:rsidRPr="007F1EBC" w:rsidRDefault="0007733D" w:rsidP="0070267C">
      <w:pPr>
        <w:spacing w:after="90"/>
        <w:rPr>
          <w:rFonts w:ascii="Arial" w:eastAsia="+mn-ea" w:hAnsi="Arial" w:cs="Arial"/>
          <w:color w:val="000000"/>
          <w:kern w:val="24"/>
          <w:sz w:val="24"/>
          <w:szCs w:val="24"/>
        </w:rPr>
      </w:pPr>
      <w:r w:rsidRPr="007F1EBC">
        <w:rPr>
          <w:rFonts w:ascii="Arial" w:hAnsi="Arial" w:cs="Arial"/>
          <w:sz w:val="24"/>
          <w:szCs w:val="24"/>
        </w:rPr>
        <w:t>Permitting is funded by the Hazardous Waste Control Account (HWCA), Fee-</w:t>
      </w:r>
      <w:r w:rsidR="00922FFE" w:rsidRPr="007F1EBC">
        <w:rPr>
          <w:rFonts w:ascii="Arial" w:hAnsi="Arial" w:cs="Arial"/>
          <w:sz w:val="24"/>
          <w:szCs w:val="24"/>
        </w:rPr>
        <w:t>f</w:t>
      </w:r>
      <w:r w:rsidRPr="007F1EBC">
        <w:rPr>
          <w:rFonts w:ascii="Arial" w:hAnsi="Arial" w:cs="Arial"/>
          <w:sz w:val="24"/>
          <w:szCs w:val="24"/>
        </w:rPr>
        <w:t xml:space="preserve">or-Service (FFS) revenues deposited in HWCA, US EPA Resource Conservation and Recovery Act (RCRA) Grant resources deposited in the Federal Trust Fund, and General Fund. </w:t>
      </w:r>
      <w:r w:rsidR="004A38CE" w:rsidRPr="007F1EBC">
        <w:rPr>
          <w:rFonts w:ascii="Arial" w:eastAsia="+mn-ea" w:hAnsi="Arial" w:cs="Arial"/>
          <w:kern w:val="24"/>
          <w:sz w:val="24"/>
          <w:szCs w:val="24"/>
        </w:rPr>
        <w:t>S</w:t>
      </w:r>
      <w:r w:rsidR="00612885" w:rsidRPr="007F1EBC">
        <w:rPr>
          <w:rFonts w:ascii="Arial" w:eastAsia="+mn-ea" w:hAnsi="Arial" w:cs="Arial"/>
          <w:color w:val="000000"/>
          <w:kern w:val="24"/>
          <w:sz w:val="24"/>
          <w:szCs w:val="24"/>
        </w:rPr>
        <w:t>B 839</w:t>
      </w:r>
      <w:r w:rsidR="00AC2305" w:rsidRPr="007F1EBC">
        <w:rPr>
          <w:rFonts w:ascii="Arial" w:eastAsia="+mn-ea" w:hAnsi="Arial" w:cs="Arial"/>
          <w:color w:val="000000"/>
          <w:kern w:val="24"/>
          <w:sz w:val="24"/>
          <w:szCs w:val="24"/>
        </w:rPr>
        <w:t xml:space="preserve"> (Chapter 340, Statutes of 2016)</w:t>
      </w:r>
      <w:r w:rsidR="00612885" w:rsidRPr="007F1EBC">
        <w:rPr>
          <w:rFonts w:ascii="Arial" w:eastAsia="+mn-ea" w:hAnsi="Arial" w:cs="Arial"/>
          <w:color w:val="000000"/>
          <w:kern w:val="24"/>
          <w:sz w:val="24"/>
          <w:szCs w:val="24"/>
        </w:rPr>
        <w:t xml:space="preserve"> was signed into law in 2016, requiring that all permit applications received after April 1, 2016 are subject to FFS.</w:t>
      </w:r>
      <w:r w:rsidR="00EA3FBA" w:rsidRPr="007F1EBC">
        <w:rPr>
          <w:rFonts w:ascii="Arial" w:eastAsia="+mn-ea" w:hAnsi="Arial" w:cs="Arial"/>
          <w:color w:val="000000"/>
          <w:kern w:val="24"/>
          <w:sz w:val="24"/>
          <w:szCs w:val="24"/>
        </w:rPr>
        <w:t xml:space="preserve"> Permitting transitioned to recover costs of reviewing all permit applications, establishing new time coding to better track and report costs and</w:t>
      </w:r>
      <w:r w:rsidR="008C69C8" w:rsidRPr="007F1EBC">
        <w:rPr>
          <w:rFonts w:ascii="Arial" w:eastAsia="+mn-ea" w:hAnsi="Arial" w:cs="Arial"/>
          <w:color w:val="000000"/>
          <w:kern w:val="24"/>
          <w:sz w:val="24"/>
          <w:szCs w:val="24"/>
        </w:rPr>
        <w:t xml:space="preserve"> Permitting</w:t>
      </w:r>
      <w:r w:rsidR="00EA3FBA" w:rsidRPr="007F1EBC">
        <w:rPr>
          <w:rFonts w:ascii="Arial" w:eastAsia="+mn-ea" w:hAnsi="Arial" w:cs="Arial"/>
          <w:color w:val="000000"/>
          <w:kern w:val="24"/>
          <w:sz w:val="24"/>
          <w:szCs w:val="24"/>
        </w:rPr>
        <w:t xml:space="preserve"> continues to develop</w:t>
      </w:r>
      <w:r w:rsidR="008C69C8" w:rsidRPr="007F1EBC">
        <w:rPr>
          <w:rFonts w:ascii="Arial" w:eastAsia="+mn-ea" w:hAnsi="Arial" w:cs="Arial"/>
          <w:color w:val="000000"/>
          <w:kern w:val="24"/>
          <w:sz w:val="24"/>
          <w:szCs w:val="24"/>
        </w:rPr>
        <w:t xml:space="preserve"> the</w:t>
      </w:r>
      <w:r w:rsidR="00EA3FBA" w:rsidRPr="007F1EBC">
        <w:rPr>
          <w:rFonts w:ascii="Arial" w:eastAsia="+mn-ea" w:hAnsi="Arial" w:cs="Arial"/>
          <w:color w:val="000000"/>
          <w:kern w:val="24"/>
          <w:sz w:val="24"/>
          <w:szCs w:val="24"/>
        </w:rPr>
        <w:t xml:space="preserve"> time coding.</w:t>
      </w:r>
    </w:p>
    <w:p w14:paraId="3993B017" w14:textId="19B56367" w:rsidR="00087084" w:rsidRPr="007F1EBC" w:rsidRDefault="00994B7D" w:rsidP="0070267C">
      <w:pPr>
        <w:spacing w:after="90"/>
        <w:rPr>
          <w:rFonts w:ascii="Arial" w:hAnsi="Arial" w:cs="Arial"/>
          <w:sz w:val="24"/>
          <w:szCs w:val="24"/>
        </w:rPr>
      </w:pPr>
      <w:r w:rsidRPr="007F1EBC">
        <w:rPr>
          <w:rFonts w:ascii="Arial" w:hAnsi="Arial" w:cs="Arial"/>
          <w:sz w:val="24"/>
          <w:szCs w:val="24"/>
        </w:rPr>
        <w:t>In FY</w:t>
      </w:r>
      <w:r w:rsidR="00E554C0">
        <w:rPr>
          <w:rFonts w:ascii="Arial" w:hAnsi="Arial" w:cs="Arial"/>
          <w:sz w:val="24"/>
          <w:szCs w:val="24"/>
        </w:rPr>
        <w:t xml:space="preserve"> 20</w:t>
      </w:r>
      <w:r w:rsidRPr="007F1EBC">
        <w:rPr>
          <w:rFonts w:ascii="Arial" w:hAnsi="Arial" w:cs="Arial"/>
          <w:sz w:val="24"/>
          <w:szCs w:val="24"/>
        </w:rPr>
        <w:t>13-14, 24 permit renewal applications had not been assigned to a permit writer and were not being actively worked on. This backlog of permits was a result of</w:t>
      </w:r>
      <w:r w:rsidR="006D0BA9" w:rsidRPr="007F1EBC">
        <w:rPr>
          <w:rFonts w:ascii="Arial" w:hAnsi="Arial" w:cs="Arial"/>
          <w:sz w:val="24"/>
          <w:szCs w:val="24"/>
        </w:rPr>
        <w:t xml:space="preserve"> </w:t>
      </w:r>
      <w:r w:rsidRPr="007F1EBC">
        <w:rPr>
          <w:rFonts w:ascii="Arial" w:hAnsi="Arial" w:cs="Arial"/>
          <w:sz w:val="24"/>
          <w:szCs w:val="24"/>
        </w:rPr>
        <w:t>shortage of staff resources and a lack of</w:t>
      </w:r>
      <w:r w:rsidR="00087084" w:rsidRPr="007F1EBC">
        <w:rPr>
          <w:rFonts w:ascii="Arial" w:hAnsi="Arial" w:cs="Arial"/>
          <w:sz w:val="24"/>
          <w:szCs w:val="24"/>
        </w:rPr>
        <w:t xml:space="preserve"> </w:t>
      </w:r>
      <w:r w:rsidRPr="007F1EBC">
        <w:rPr>
          <w:rFonts w:ascii="Arial" w:hAnsi="Arial" w:cs="Arial"/>
          <w:sz w:val="24"/>
          <w:szCs w:val="24"/>
        </w:rPr>
        <w:t xml:space="preserve">management structure within </w:t>
      </w:r>
      <w:r w:rsidR="00361095" w:rsidRPr="007F1EBC">
        <w:rPr>
          <w:rFonts w:ascii="Arial" w:hAnsi="Arial" w:cs="Arial"/>
          <w:sz w:val="24"/>
          <w:szCs w:val="24"/>
        </w:rPr>
        <w:t>P</w:t>
      </w:r>
      <w:r w:rsidRPr="007F1EBC">
        <w:rPr>
          <w:rFonts w:ascii="Arial" w:hAnsi="Arial" w:cs="Arial"/>
          <w:sz w:val="24"/>
          <w:szCs w:val="24"/>
        </w:rPr>
        <w:t>ermitting</w:t>
      </w:r>
      <w:r w:rsidR="003672BD" w:rsidRPr="007F1EBC">
        <w:rPr>
          <w:rFonts w:ascii="Arial" w:hAnsi="Arial" w:cs="Arial"/>
          <w:sz w:val="24"/>
          <w:szCs w:val="24"/>
        </w:rPr>
        <w:t>.</w:t>
      </w:r>
      <w:r w:rsidR="00087084" w:rsidRPr="007F1EBC">
        <w:rPr>
          <w:rFonts w:ascii="Arial" w:hAnsi="Arial" w:cs="Arial"/>
          <w:sz w:val="24"/>
          <w:szCs w:val="24"/>
        </w:rPr>
        <w:t xml:space="preserve"> </w:t>
      </w:r>
      <w:r w:rsidR="00C17309">
        <w:rPr>
          <w:rFonts w:ascii="Arial" w:hAnsi="Arial" w:cs="Arial"/>
          <w:sz w:val="24"/>
          <w:szCs w:val="24"/>
        </w:rPr>
        <w:t xml:space="preserve"> With additional positions coupled with organizational and process improvements, </w:t>
      </w:r>
      <w:r w:rsidR="00361095" w:rsidRPr="007F1EBC">
        <w:rPr>
          <w:rFonts w:ascii="Arial" w:hAnsi="Arial" w:cs="Arial"/>
          <w:sz w:val="24"/>
          <w:szCs w:val="24"/>
        </w:rPr>
        <w:t>P</w:t>
      </w:r>
      <w:r w:rsidRPr="007F1EBC">
        <w:rPr>
          <w:rFonts w:ascii="Arial" w:hAnsi="Arial" w:cs="Arial"/>
          <w:sz w:val="24"/>
          <w:szCs w:val="24"/>
        </w:rPr>
        <w:t>ermitting</w:t>
      </w:r>
      <w:r w:rsidR="00087084" w:rsidRPr="007F1EBC">
        <w:rPr>
          <w:rFonts w:ascii="Arial" w:hAnsi="Arial" w:cs="Arial"/>
          <w:sz w:val="24"/>
          <w:szCs w:val="24"/>
        </w:rPr>
        <w:t>:</w:t>
      </w:r>
    </w:p>
    <w:p w14:paraId="0F03EADD" w14:textId="040988AD" w:rsidR="006C761F" w:rsidRPr="007F1EBC" w:rsidRDefault="006C761F">
      <w:pPr>
        <w:numPr>
          <w:ilvl w:val="0"/>
          <w:numId w:val="19"/>
        </w:numPr>
        <w:spacing w:after="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R</w:t>
      </w:r>
      <w:r w:rsidR="00994B7D" w:rsidRPr="007F1EBC">
        <w:rPr>
          <w:rFonts w:ascii="Arial" w:eastAsia="+mn-ea" w:hAnsi="Arial" w:cs="Arial"/>
          <w:color w:val="000000"/>
          <w:kern w:val="24"/>
          <w:sz w:val="24"/>
          <w:szCs w:val="24"/>
        </w:rPr>
        <w:t>educed the time to make permit decisions from 4.5 years to 2.</w:t>
      </w:r>
      <w:r w:rsidR="00C17309">
        <w:rPr>
          <w:rFonts w:ascii="Arial" w:eastAsia="+mn-ea" w:hAnsi="Arial" w:cs="Arial"/>
          <w:color w:val="000000"/>
          <w:kern w:val="24"/>
          <w:sz w:val="24"/>
          <w:szCs w:val="24"/>
        </w:rPr>
        <w:t>5</w:t>
      </w:r>
      <w:r w:rsidR="00994B7D" w:rsidRPr="007F1EBC">
        <w:rPr>
          <w:rFonts w:ascii="Arial" w:eastAsia="+mn-ea" w:hAnsi="Arial" w:cs="Arial"/>
          <w:color w:val="000000"/>
          <w:kern w:val="24"/>
          <w:sz w:val="24"/>
          <w:szCs w:val="24"/>
        </w:rPr>
        <w:t xml:space="preserve"> years</w:t>
      </w:r>
      <w:r w:rsidRPr="007F1EBC">
        <w:rPr>
          <w:rFonts w:ascii="Arial" w:eastAsia="+mn-ea" w:hAnsi="Arial" w:cs="Arial"/>
          <w:color w:val="000000"/>
          <w:kern w:val="24"/>
          <w:sz w:val="24"/>
          <w:szCs w:val="24"/>
        </w:rPr>
        <w:t xml:space="preserve">; and </w:t>
      </w:r>
    </w:p>
    <w:p w14:paraId="3767833F" w14:textId="62594744" w:rsidR="006C761F" w:rsidRPr="007F1EBC" w:rsidRDefault="006C761F">
      <w:pPr>
        <w:numPr>
          <w:ilvl w:val="0"/>
          <w:numId w:val="19"/>
        </w:numPr>
        <w:spacing w:after="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I</w:t>
      </w:r>
      <w:r w:rsidR="00994B7D" w:rsidRPr="007F1EBC">
        <w:rPr>
          <w:rFonts w:ascii="Arial" w:eastAsia="+mn-ea" w:hAnsi="Arial" w:cs="Arial"/>
          <w:color w:val="000000"/>
          <w:kern w:val="24"/>
          <w:sz w:val="24"/>
          <w:szCs w:val="24"/>
        </w:rPr>
        <w:t>ncreas</w:t>
      </w:r>
      <w:r w:rsidRPr="007F1EBC">
        <w:rPr>
          <w:rFonts w:ascii="Arial" w:eastAsia="+mn-ea" w:hAnsi="Arial" w:cs="Arial"/>
          <w:color w:val="000000"/>
          <w:kern w:val="24"/>
          <w:sz w:val="24"/>
          <w:szCs w:val="24"/>
        </w:rPr>
        <w:t>ed</w:t>
      </w:r>
      <w:r w:rsidR="00994B7D" w:rsidRPr="007F1EBC">
        <w:rPr>
          <w:rFonts w:ascii="Arial" w:eastAsia="+mn-ea" w:hAnsi="Arial" w:cs="Arial"/>
          <w:color w:val="000000"/>
          <w:kern w:val="24"/>
          <w:sz w:val="24"/>
          <w:szCs w:val="24"/>
        </w:rPr>
        <w:t xml:space="preserve"> the quality of reviews and opportunities for public participation</w:t>
      </w:r>
      <w:r w:rsidR="007062B7" w:rsidRPr="007F1EBC">
        <w:rPr>
          <w:rFonts w:ascii="Arial" w:eastAsia="+mn-ea" w:hAnsi="Arial" w:cs="Arial"/>
          <w:color w:val="000000"/>
          <w:kern w:val="24"/>
          <w:sz w:val="24"/>
          <w:szCs w:val="24"/>
        </w:rPr>
        <w:t>; and,</w:t>
      </w:r>
    </w:p>
    <w:p w14:paraId="1881D345" w14:textId="02BFAFBF" w:rsidR="00994B7D" w:rsidRPr="007F1EBC" w:rsidRDefault="006C761F" w:rsidP="0070267C">
      <w:pPr>
        <w:numPr>
          <w:ilvl w:val="0"/>
          <w:numId w:val="19"/>
        </w:numPr>
        <w:spacing w:after="9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Increased t</w:t>
      </w:r>
      <w:r w:rsidR="00994B7D" w:rsidRPr="007F1EBC">
        <w:rPr>
          <w:rFonts w:ascii="Arial" w:eastAsia="+mn-ea" w:hAnsi="Arial" w:cs="Arial"/>
          <w:color w:val="000000"/>
          <w:kern w:val="24"/>
          <w:sz w:val="24"/>
          <w:szCs w:val="24"/>
        </w:rPr>
        <w:t xml:space="preserve">he number of annual </w:t>
      </w:r>
      <w:r w:rsidRPr="007F1EBC">
        <w:rPr>
          <w:rFonts w:ascii="Arial" w:eastAsia="+mn-ea" w:hAnsi="Arial" w:cs="Arial"/>
          <w:color w:val="000000"/>
          <w:kern w:val="24"/>
          <w:sz w:val="24"/>
          <w:szCs w:val="24"/>
        </w:rPr>
        <w:t xml:space="preserve">permit renewal decisions </w:t>
      </w:r>
      <w:r w:rsidR="00553372" w:rsidRPr="007F1EBC">
        <w:rPr>
          <w:rFonts w:ascii="Arial" w:eastAsia="+mn-ea" w:hAnsi="Arial" w:cs="Arial"/>
          <w:color w:val="000000"/>
          <w:kern w:val="24"/>
          <w:sz w:val="24"/>
          <w:szCs w:val="24"/>
        </w:rPr>
        <w:t>two</w:t>
      </w:r>
      <w:r w:rsidR="00994B7D" w:rsidRPr="007F1EBC">
        <w:rPr>
          <w:rFonts w:ascii="Arial" w:eastAsia="+mn-ea" w:hAnsi="Arial" w:cs="Arial"/>
          <w:color w:val="000000"/>
          <w:kern w:val="24"/>
          <w:sz w:val="24"/>
          <w:szCs w:val="24"/>
        </w:rPr>
        <w:t xml:space="preserve"> in FY </w:t>
      </w:r>
      <w:r w:rsidR="00361095" w:rsidRPr="007F1EBC">
        <w:rPr>
          <w:rFonts w:ascii="Arial" w:eastAsia="+mn-ea" w:hAnsi="Arial" w:cs="Arial"/>
          <w:color w:val="000000"/>
          <w:kern w:val="24"/>
          <w:sz w:val="24"/>
          <w:szCs w:val="24"/>
        </w:rPr>
        <w:t>20</w:t>
      </w:r>
      <w:r w:rsidR="00994B7D" w:rsidRPr="007F1EBC">
        <w:rPr>
          <w:rFonts w:ascii="Arial" w:eastAsia="+mn-ea" w:hAnsi="Arial" w:cs="Arial"/>
          <w:color w:val="000000"/>
          <w:kern w:val="24"/>
          <w:sz w:val="24"/>
          <w:szCs w:val="24"/>
        </w:rPr>
        <w:t xml:space="preserve">13-14 </w:t>
      </w:r>
      <w:r w:rsidRPr="007F1EBC">
        <w:rPr>
          <w:rFonts w:ascii="Arial" w:eastAsia="+mn-ea" w:hAnsi="Arial" w:cs="Arial"/>
          <w:color w:val="000000"/>
          <w:kern w:val="24"/>
          <w:sz w:val="24"/>
          <w:szCs w:val="24"/>
        </w:rPr>
        <w:t xml:space="preserve">to </w:t>
      </w:r>
      <w:r w:rsidR="00994B7D" w:rsidRPr="007F1EBC">
        <w:rPr>
          <w:rFonts w:ascii="Arial" w:eastAsia="+mn-ea" w:hAnsi="Arial" w:cs="Arial"/>
          <w:color w:val="000000"/>
          <w:kern w:val="24"/>
          <w:sz w:val="24"/>
          <w:szCs w:val="24"/>
        </w:rPr>
        <w:t xml:space="preserve">13 in FY </w:t>
      </w:r>
      <w:r w:rsidR="00361095" w:rsidRPr="007F1EBC">
        <w:rPr>
          <w:rFonts w:ascii="Arial" w:eastAsia="+mn-ea" w:hAnsi="Arial" w:cs="Arial"/>
          <w:color w:val="000000"/>
          <w:kern w:val="24"/>
          <w:sz w:val="24"/>
          <w:szCs w:val="24"/>
        </w:rPr>
        <w:t>20</w:t>
      </w:r>
      <w:r w:rsidR="00994B7D" w:rsidRPr="007F1EBC">
        <w:rPr>
          <w:rFonts w:ascii="Arial" w:eastAsia="+mn-ea" w:hAnsi="Arial" w:cs="Arial"/>
          <w:color w:val="000000"/>
          <w:kern w:val="24"/>
          <w:sz w:val="24"/>
          <w:szCs w:val="24"/>
        </w:rPr>
        <w:t xml:space="preserve">18-19. </w:t>
      </w:r>
    </w:p>
    <w:p w14:paraId="4879CFCD" w14:textId="26C606A1" w:rsidR="0080552F" w:rsidRPr="007F1EBC" w:rsidRDefault="0080552F" w:rsidP="0070267C">
      <w:pPr>
        <w:spacing w:after="90"/>
        <w:rPr>
          <w:rFonts w:ascii="Arial" w:hAnsi="Arial"/>
          <w:sz w:val="24"/>
          <w:szCs w:val="24"/>
        </w:rPr>
      </w:pPr>
      <w:r w:rsidRPr="007F1EBC">
        <w:rPr>
          <w:rFonts w:ascii="Arial" w:hAnsi="Arial"/>
          <w:sz w:val="24"/>
          <w:szCs w:val="24"/>
        </w:rPr>
        <w:t>Permitting has created a climate of continuous improvement and instituted a process improvement working group.</w:t>
      </w:r>
      <w:r w:rsidR="00D06329" w:rsidRPr="007F1EBC">
        <w:rPr>
          <w:rFonts w:ascii="Arial" w:hAnsi="Arial" w:cs="Arial"/>
          <w:sz w:val="24"/>
          <w:szCs w:val="24"/>
        </w:rPr>
        <w:t xml:space="preserve"> Permitting also </w:t>
      </w:r>
      <w:r w:rsidRPr="007F1EBC">
        <w:rPr>
          <w:rFonts w:ascii="Arial" w:hAnsi="Arial" w:cs="Arial"/>
          <w:sz w:val="24"/>
          <w:szCs w:val="24"/>
        </w:rPr>
        <w:t>developed key metrics of performance</w:t>
      </w:r>
      <w:r w:rsidR="00F82FEB" w:rsidRPr="007F1EBC">
        <w:rPr>
          <w:rFonts w:ascii="Arial" w:hAnsi="Arial" w:cs="Arial"/>
          <w:sz w:val="24"/>
          <w:szCs w:val="24"/>
        </w:rPr>
        <w:t>, data collection processes,</w:t>
      </w:r>
      <w:r w:rsidR="00D06329" w:rsidRPr="007F1EBC">
        <w:rPr>
          <w:rFonts w:ascii="Arial" w:hAnsi="Arial" w:cs="Arial"/>
          <w:sz w:val="24"/>
          <w:szCs w:val="24"/>
        </w:rPr>
        <w:t xml:space="preserve"> and a dashboard </w:t>
      </w:r>
      <w:r w:rsidR="00F82FEB" w:rsidRPr="007F1EBC">
        <w:rPr>
          <w:rFonts w:ascii="Arial" w:hAnsi="Arial" w:cs="Arial"/>
          <w:sz w:val="24"/>
          <w:szCs w:val="24"/>
        </w:rPr>
        <w:t>displaying performance</w:t>
      </w:r>
      <w:r w:rsidRPr="007F1EBC">
        <w:rPr>
          <w:rFonts w:ascii="Arial" w:hAnsi="Arial" w:cs="Arial"/>
          <w:sz w:val="24"/>
          <w:szCs w:val="24"/>
        </w:rPr>
        <w:t xml:space="preserve">. Permitting is on track </w:t>
      </w:r>
      <w:r w:rsidR="001F4BD8" w:rsidRPr="007F1EBC">
        <w:rPr>
          <w:rFonts w:ascii="Arial" w:hAnsi="Arial" w:cs="Arial"/>
          <w:sz w:val="24"/>
          <w:szCs w:val="24"/>
        </w:rPr>
        <w:t>to</w:t>
      </w:r>
      <w:r w:rsidRPr="007F1EBC">
        <w:rPr>
          <w:rFonts w:ascii="Arial" w:hAnsi="Arial" w:cs="Arial"/>
          <w:sz w:val="24"/>
          <w:szCs w:val="24"/>
        </w:rPr>
        <w:t>:</w:t>
      </w:r>
    </w:p>
    <w:p w14:paraId="36B66F41" w14:textId="30944157" w:rsidR="0080552F" w:rsidRPr="007F1EBC" w:rsidRDefault="0080552F">
      <w:pPr>
        <w:numPr>
          <w:ilvl w:val="0"/>
          <w:numId w:val="19"/>
        </w:numPr>
        <w:spacing w:after="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Send 100</w:t>
      </w:r>
      <w:r w:rsidR="00CF7163" w:rsidRPr="007F1EBC">
        <w:rPr>
          <w:rFonts w:ascii="Arial" w:eastAsia="+mn-ea" w:hAnsi="Arial" w:cs="Arial"/>
          <w:color w:val="000000"/>
          <w:kern w:val="24"/>
          <w:sz w:val="24"/>
          <w:szCs w:val="24"/>
        </w:rPr>
        <w:t xml:space="preserve"> percent</w:t>
      </w:r>
      <w:r w:rsidRPr="007F1EBC">
        <w:rPr>
          <w:rFonts w:ascii="Arial" w:eastAsia="+mn-ea" w:hAnsi="Arial" w:cs="Arial"/>
          <w:color w:val="000000"/>
          <w:kern w:val="24"/>
          <w:sz w:val="24"/>
          <w:szCs w:val="24"/>
        </w:rPr>
        <w:t xml:space="preserve"> of </w:t>
      </w:r>
      <w:r w:rsidR="008C431B" w:rsidRPr="007F1EBC">
        <w:rPr>
          <w:rFonts w:ascii="Arial" w:eastAsia="+mn-ea" w:hAnsi="Arial" w:cs="Arial"/>
          <w:color w:val="000000"/>
          <w:kern w:val="24"/>
          <w:sz w:val="24"/>
          <w:szCs w:val="24"/>
        </w:rPr>
        <w:t>r</w:t>
      </w:r>
      <w:r w:rsidRPr="007F1EBC">
        <w:rPr>
          <w:rFonts w:ascii="Arial" w:eastAsia="+mn-ea" w:hAnsi="Arial" w:cs="Arial"/>
          <w:color w:val="000000"/>
          <w:kern w:val="24"/>
          <w:sz w:val="24"/>
          <w:szCs w:val="24"/>
        </w:rPr>
        <w:t xml:space="preserve">eminder </w:t>
      </w:r>
      <w:r w:rsidR="008C431B" w:rsidRPr="007F1EBC">
        <w:rPr>
          <w:rFonts w:ascii="Arial" w:eastAsia="+mn-ea" w:hAnsi="Arial" w:cs="Arial"/>
          <w:color w:val="000000"/>
          <w:kern w:val="24"/>
          <w:sz w:val="24"/>
          <w:szCs w:val="24"/>
        </w:rPr>
        <w:t>l</w:t>
      </w:r>
      <w:r w:rsidRPr="007F1EBC">
        <w:rPr>
          <w:rFonts w:ascii="Arial" w:eastAsia="+mn-ea" w:hAnsi="Arial" w:cs="Arial"/>
          <w:color w:val="000000"/>
          <w:kern w:val="24"/>
          <w:sz w:val="24"/>
          <w:szCs w:val="24"/>
        </w:rPr>
        <w:t xml:space="preserve">etters at least 18 months before </w:t>
      </w:r>
      <w:r w:rsidR="008C431B" w:rsidRPr="007F1EBC">
        <w:rPr>
          <w:rFonts w:ascii="Arial" w:eastAsia="+mn-ea" w:hAnsi="Arial" w:cs="Arial"/>
          <w:color w:val="000000"/>
          <w:kern w:val="24"/>
          <w:sz w:val="24"/>
          <w:szCs w:val="24"/>
        </w:rPr>
        <w:t xml:space="preserve">a </w:t>
      </w:r>
      <w:r w:rsidRPr="007F1EBC">
        <w:rPr>
          <w:rFonts w:ascii="Arial" w:eastAsia="+mn-ea" w:hAnsi="Arial" w:cs="Arial"/>
          <w:color w:val="000000"/>
          <w:kern w:val="24"/>
          <w:sz w:val="24"/>
          <w:szCs w:val="24"/>
        </w:rPr>
        <w:t>permit expires;</w:t>
      </w:r>
    </w:p>
    <w:p w14:paraId="0FD6E5CF" w14:textId="69703251" w:rsidR="0080552F" w:rsidRPr="007F1EBC" w:rsidRDefault="0080552F">
      <w:pPr>
        <w:numPr>
          <w:ilvl w:val="0"/>
          <w:numId w:val="19"/>
        </w:numPr>
        <w:spacing w:after="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Hold 100</w:t>
      </w:r>
      <w:r w:rsidR="00CF7163" w:rsidRPr="007F1EBC">
        <w:rPr>
          <w:rFonts w:ascii="Arial" w:eastAsia="+mn-ea" w:hAnsi="Arial" w:cs="Arial"/>
          <w:color w:val="000000"/>
          <w:kern w:val="24"/>
          <w:sz w:val="24"/>
          <w:szCs w:val="24"/>
        </w:rPr>
        <w:t xml:space="preserve"> percent</w:t>
      </w:r>
      <w:r w:rsidRPr="007F1EBC">
        <w:rPr>
          <w:rFonts w:ascii="Arial" w:eastAsia="+mn-ea" w:hAnsi="Arial" w:cs="Arial"/>
          <w:color w:val="000000"/>
          <w:kern w:val="24"/>
          <w:sz w:val="24"/>
          <w:szCs w:val="24"/>
        </w:rPr>
        <w:t xml:space="preserve"> of </w:t>
      </w:r>
      <w:r w:rsidR="008C431B" w:rsidRPr="007F1EBC">
        <w:rPr>
          <w:rFonts w:ascii="Arial" w:eastAsia="+mn-ea" w:hAnsi="Arial" w:cs="Arial"/>
          <w:color w:val="000000"/>
          <w:kern w:val="24"/>
          <w:sz w:val="24"/>
          <w:szCs w:val="24"/>
        </w:rPr>
        <w:t>p</w:t>
      </w:r>
      <w:r w:rsidRPr="007F1EBC">
        <w:rPr>
          <w:rFonts w:ascii="Arial" w:eastAsia="+mn-ea" w:hAnsi="Arial" w:cs="Arial"/>
          <w:color w:val="000000"/>
          <w:kern w:val="24"/>
          <w:sz w:val="24"/>
          <w:szCs w:val="24"/>
        </w:rPr>
        <w:t>re</w:t>
      </w:r>
      <w:r w:rsidR="002258CF" w:rsidRPr="007F1EBC">
        <w:rPr>
          <w:rFonts w:ascii="Arial" w:eastAsia="+mn-ea" w:hAnsi="Arial" w:cs="Arial"/>
          <w:color w:val="000000"/>
          <w:kern w:val="24"/>
          <w:sz w:val="24"/>
          <w:szCs w:val="24"/>
        </w:rPr>
        <w:t>-</w:t>
      </w:r>
      <w:r w:rsidR="008C431B" w:rsidRPr="007F1EBC">
        <w:rPr>
          <w:rFonts w:ascii="Arial" w:eastAsia="+mn-ea" w:hAnsi="Arial" w:cs="Arial"/>
          <w:color w:val="000000"/>
          <w:kern w:val="24"/>
          <w:sz w:val="24"/>
          <w:szCs w:val="24"/>
        </w:rPr>
        <w:t>a</w:t>
      </w:r>
      <w:r w:rsidRPr="007F1EBC">
        <w:rPr>
          <w:rFonts w:ascii="Arial" w:eastAsia="+mn-ea" w:hAnsi="Arial" w:cs="Arial"/>
          <w:color w:val="000000"/>
          <w:kern w:val="24"/>
          <w:sz w:val="24"/>
          <w:szCs w:val="24"/>
        </w:rPr>
        <w:t xml:space="preserve">pplication </w:t>
      </w:r>
      <w:r w:rsidR="008C431B" w:rsidRPr="007F1EBC">
        <w:rPr>
          <w:rFonts w:ascii="Arial" w:eastAsia="+mn-ea" w:hAnsi="Arial" w:cs="Arial"/>
          <w:color w:val="000000"/>
          <w:kern w:val="24"/>
          <w:sz w:val="24"/>
          <w:szCs w:val="24"/>
        </w:rPr>
        <w:t>m</w:t>
      </w:r>
      <w:r w:rsidRPr="007F1EBC">
        <w:rPr>
          <w:rFonts w:ascii="Arial" w:eastAsia="+mn-ea" w:hAnsi="Arial" w:cs="Arial"/>
          <w:color w:val="000000"/>
          <w:kern w:val="24"/>
          <w:sz w:val="24"/>
          <w:szCs w:val="24"/>
        </w:rPr>
        <w:t xml:space="preserve">eetings at least 15 months before </w:t>
      </w:r>
      <w:r w:rsidR="008C431B" w:rsidRPr="007F1EBC">
        <w:rPr>
          <w:rFonts w:ascii="Arial" w:eastAsia="+mn-ea" w:hAnsi="Arial" w:cs="Arial"/>
          <w:color w:val="000000"/>
          <w:kern w:val="24"/>
          <w:sz w:val="24"/>
          <w:szCs w:val="24"/>
        </w:rPr>
        <w:t xml:space="preserve">a </w:t>
      </w:r>
      <w:r w:rsidRPr="007F1EBC">
        <w:rPr>
          <w:rFonts w:ascii="Arial" w:eastAsia="+mn-ea" w:hAnsi="Arial" w:cs="Arial"/>
          <w:color w:val="000000"/>
          <w:kern w:val="24"/>
          <w:sz w:val="24"/>
          <w:szCs w:val="24"/>
        </w:rPr>
        <w:t>permit expires; and</w:t>
      </w:r>
    </w:p>
    <w:p w14:paraId="6C28A0BA" w14:textId="7F83BBDC" w:rsidR="0080552F" w:rsidRPr="007F1EBC" w:rsidRDefault="0080552F" w:rsidP="0070267C">
      <w:pPr>
        <w:numPr>
          <w:ilvl w:val="0"/>
          <w:numId w:val="19"/>
        </w:numPr>
        <w:spacing w:after="9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Complet</w:t>
      </w:r>
      <w:r w:rsidR="001F4BD8" w:rsidRPr="007F1EBC">
        <w:rPr>
          <w:rFonts w:ascii="Arial" w:eastAsia="+mn-ea" w:hAnsi="Arial" w:cs="Arial"/>
          <w:color w:val="000000"/>
          <w:kern w:val="24"/>
          <w:sz w:val="24"/>
          <w:szCs w:val="24"/>
        </w:rPr>
        <w:t>e</w:t>
      </w:r>
      <w:r w:rsidRPr="007F1EBC">
        <w:rPr>
          <w:rFonts w:ascii="Arial" w:eastAsia="+mn-ea" w:hAnsi="Arial" w:cs="Arial"/>
          <w:color w:val="000000"/>
          <w:kern w:val="24"/>
          <w:sz w:val="24"/>
          <w:szCs w:val="24"/>
        </w:rPr>
        <w:t xml:space="preserve"> 100</w:t>
      </w:r>
      <w:r w:rsidR="00CF7163" w:rsidRPr="007F1EBC">
        <w:rPr>
          <w:rFonts w:ascii="Arial" w:eastAsia="+mn-ea" w:hAnsi="Arial" w:cs="Arial"/>
          <w:color w:val="000000"/>
          <w:kern w:val="24"/>
          <w:sz w:val="24"/>
          <w:szCs w:val="24"/>
        </w:rPr>
        <w:t xml:space="preserve"> percent</w:t>
      </w:r>
      <w:r w:rsidRPr="007F1EBC">
        <w:rPr>
          <w:rFonts w:ascii="Arial" w:eastAsia="+mn-ea" w:hAnsi="Arial" w:cs="Arial"/>
          <w:color w:val="000000"/>
          <w:kern w:val="24"/>
          <w:sz w:val="24"/>
          <w:szCs w:val="24"/>
        </w:rPr>
        <w:t xml:space="preserve"> of initial administrative </w:t>
      </w:r>
      <w:r w:rsidR="008C431B" w:rsidRPr="007F1EBC">
        <w:rPr>
          <w:rFonts w:ascii="Arial" w:eastAsia="+mn-ea" w:hAnsi="Arial" w:cs="Arial"/>
          <w:color w:val="000000"/>
          <w:kern w:val="24"/>
          <w:sz w:val="24"/>
          <w:szCs w:val="24"/>
        </w:rPr>
        <w:t xml:space="preserve">application </w:t>
      </w:r>
      <w:r w:rsidRPr="007F1EBC">
        <w:rPr>
          <w:rFonts w:ascii="Arial" w:eastAsia="+mn-ea" w:hAnsi="Arial" w:cs="Arial"/>
          <w:color w:val="000000"/>
          <w:kern w:val="24"/>
          <w:sz w:val="24"/>
          <w:szCs w:val="24"/>
        </w:rPr>
        <w:t xml:space="preserve">reviews within 30 days. </w:t>
      </w:r>
    </w:p>
    <w:p w14:paraId="54AA3AAC" w14:textId="44314494" w:rsidR="0080552F" w:rsidRPr="007F1EBC" w:rsidRDefault="00D06329" w:rsidP="0070267C">
      <w:pPr>
        <w:spacing w:after="90"/>
        <w:rPr>
          <w:rFonts w:ascii="Arial" w:hAnsi="Arial"/>
          <w:sz w:val="24"/>
          <w:szCs w:val="24"/>
        </w:rPr>
      </w:pPr>
      <w:r w:rsidRPr="007F1EBC">
        <w:rPr>
          <w:rFonts w:ascii="Arial" w:hAnsi="Arial" w:cs="Arial"/>
          <w:sz w:val="24"/>
          <w:szCs w:val="24"/>
        </w:rPr>
        <w:t xml:space="preserve">Further, </w:t>
      </w:r>
      <w:r w:rsidR="00DA6363" w:rsidRPr="007F1EBC">
        <w:rPr>
          <w:rFonts w:ascii="Arial" w:hAnsi="Arial" w:cs="Arial"/>
          <w:sz w:val="24"/>
          <w:szCs w:val="24"/>
        </w:rPr>
        <w:t xml:space="preserve">by FY 2024-25 </w:t>
      </w:r>
      <w:r w:rsidR="0080552F" w:rsidRPr="007F1EBC">
        <w:rPr>
          <w:rFonts w:ascii="Arial" w:hAnsi="Arial"/>
          <w:sz w:val="24"/>
          <w:szCs w:val="24"/>
        </w:rPr>
        <w:t xml:space="preserve">Permitting is on track </w:t>
      </w:r>
      <w:r w:rsidR="000F076E" w:rsidRPr="007F1EBC">
        <w:rPr>
          <w:rFonts w:ascii="Arial" w:hAnsi="Arial"/>
          <w:sz w:val="24"/>
          <w:szCs w:val="24"/>
        </w:rPr>
        <w:t>to</w:t>
      </w:r>
      <w:r w:rsidR="00DA6363" w:rsidRPr="007F1EBC">
        <w:rPr>
          <w:rFonts w:ascii="Arial" w:hAnsi="Arial"/>
          <w:sz w:val="24"/>
          <w:szCs w:val="24"/>
        </w:rPr>
        <w:t xml:space="preserve"> accomplish the following </w:t>
      </w:r>
      <w:r w:rsidR="00DA6363" w:rsidRPr="007F1EBC">
        <w:rPr>
          <w:rFonts w:ascii="Arial" w:hAnsi="Arial" w:cs="Arial"/>
          <w:sz w:val="24"/>
          <w:szCs w:val="24"/>
        </w:rPr>
        <w:t>after receiving an</w:t>
      </w:r>
      <w:r w:rsidR="00DA6363" w:rsidRPr="007F1EBC">
        <w:rPr>
          <w:rFonts w:ascii="Arial" w:hAnsi="Arial"/>
          <w:sz w:val="24"/>
          <w:szCs w:val="24"/>
        </w:rPr>
        <w:t xml:space="preserve"> administratively complete application</w:t>
      </w:r>
      <w:r w:rsidR="00DA6363" w:rsidRPr="007F1EBC">
        <w:rPr>
          <w:rFonts w:ascii="Arial" w:hAnsi="Arial" w:cs="Arial"/>
          <w:sz w:val="24"/>
          <w:szCs w:val="24"/>
        </w:rPr>
        <w:t>:</w:t>
      </w:r>
    </w:p>
    <w:p w14:paraId="6C31F477" w14:textId="01B2069E" w:rsidR="009A6356" w:rsidRPr="007F1EBC" w:rsidRDefault="0080552F">
      <w:pPr>
        <w:numPr>
          <w:ilvl w:val="0"/>
          <w:numId w:val="19"/>
        </w:numPr>
        <w:spacing w:after="0"/>
        <w:ind w:left="720"/>
        <w:rPr>
          <w:rFonts w:ascii="Arial" w:eastAsia="+mn-ea" w:hAnsi="Arial" w:cs="Arial"/>
          <w:color w:val="000000"/>
          <w:kern w:val="24"/>
          <w:sz w:val="24"/>
          <w:szCs w:val="24"/>
        </w:rPr>
      </w:pPr>
      <w:r w:rsidRPr="007F1EBC">
        <w:rPr>
          <w:rFonts w:ascii="Arial" w:eastAsia="+mn-ea" w:hAnsi="Arial" w:cs="Arial"/>
          <w:color w:val="000000"/>
          <w:kern w:val="24"/>
          <w:sz w:val="24"/>
          <w:szCs w:val="24"/>
        </w:rPr>
        <w:t>Complet</w:t>
      </w:r>
      <w:r w:rsidR="001F4BD8" w:rsidRPr="007F1EBC">
        <w:rPr>
          <w:rFonts w:ascii="Arial" w:eastAsia="+mn-ea" w:hAnsi="Arial" w:cs="Arial"/>
          <w:color w:val="000000"/>
          <w:kern w:val="24"/>
          <w:sz w:val="24"/>
          <w:szCs w:val="24"/>
        </w:rPr>
        <w:t>e</w:t>
      </w:r>
      <w:r w:rsidRPr="007F1EBC">
        <w:rPr>
          <w:rFonts w:ascii="Arial" w:eastAsia="+mn-ea" w:hAnsi="Arial" w:cs="Arial"/>
          <w:color w:val="000000"/>
          <w:kern w:val="24"/>
          <w:sz w:val="24"/>
          <w:szCs w:val="24"/>
        </w:rPr>
        <w:t xml:space="preserve"> 90</w:t>
      </w:r>
      <w:r w:rsidR="00CF7163" w:rsidRPr="007F1EBC">
        <w:rPr>
          <w:rFonts w:ascii="Arial" w:eastAsia="+mn-ea" w:hAnsi="Arial" w:cs="Arial"/>
          <w:color w:val="000000"/>
          <w:kern w:val="24"/>
          <w:sz w:val="24"/>
          <w:szCs w:val="24"/>
        </w:rPr>
        <w:t xml:space="preserve"> percent</w:t>
      </w:r>
      <w:r w:rsidRPr="007F1EBC">
        <w:rPr>
          <w:rFonts w:ascii="Arial" w:eastAsia="+mn-ea" w:hAnsi="Arial" w:cs="Arial"/>
          <w:color w:val="000000"/>
          <w:kern w:val="24"/>
          <w:sz w:val="24"/>
          <w:szCs w:val="24"/>
        </w:rPr>
        <w:t xml:space="preserve"> of </w:t>
      </w:r>
      <w:r w:rsidR="008C431B" w:rsidRPr="007F1EBC">
        <w:rPr>
          <w:rFonts w:ascii="Arial" w:eastAsia="+mn-ea" w:hAnsi="Arial" w:cs="Arial"/>
          <w:color w:val="000000"/>
          <w:kern w:val="24"/>
          <w:sz w:val="24"/>
          <w:szCs w:val="24"/>
        </w:rPr>
        <w:t>t</w:t>
      </w:r>
      <w:r w:rsidRPr="007F1EBC">
        <w:rPr>
          <w:rFonts w:ascii="Arial" w:eastAsia="+mn-ea" w:hAnsi="Arial" w:cs="Arial"/>
          <w:color w:val="000000"/>
          <w:kern w:val="24"/>
          <w:sz w:val="24"/>
          <w:szCs w:val="24"/>
        </w:rPr>
        <w:t xml:space="preserve">echnical </w:t>
      </w:r>
      <w:r w:rsidR="008C431B" w:rsidRPr="007F1EBC">
        <w:rPr>
          <w:rFonts w:ascii="Arial" w:eastAsia="+mn-ea" w:hAnsi="Arial" w:cs="Arial"/>
          <w:color w:val="000000"/>
          <w:kern w:val="24"/>
          <w:sz w:val="24"/>
          <w:szCs w:val="24"/>
        </w:rPr>
        <w:t>r</w:t>
      </w:r>
      <w:r w:rsidRPr="007F1EBC">
        <w:rPr>
          <w:rFonts w:ascii="Arial" w:eastAsia="+mn-ea" w:hAnsi="Arial" w:cs="Arial"/>
          <w:color w:val="000000"/>
          <w:kern w:val="24"/>
          <w:sz w:val="24"/>
          <w:szCs w:val="24"/>
        </w:rPr>
        <w:t>eviews within 13 months; and</w:t>
      </w:r>
    </w:p>
    <w:p w14:paraId="31E8DBA0" w14:textId="55F27B1A" w:rsidR="00F82FEB" w:rsidRPr="007F1EBC" w:rsidRDefault="0080552F" w:rsidP="0070267C">
      <w:pPr>
        <w:numPr>
          <w:ilvl w:val="0"/>
          <w:numId w:val="19"/>
        </w:numPr>
        <w:spacing w:after="90"/>
        <w:ind w:left="720"/>
        <w:rPr>
          <w:sz w:val="24"/>
          <w:szCs w:val="24"/>
        </w:rPr>
      </w:pPr>
      <w:r w:rsidRPr="007F1EBC">
        <w:rPr>
          <w:rFonts w:ascii="Arial" w:eastAsia="+mn-ea" w:hAnsi="Arial" w:cs="Arial"/>
          <w:color w:val="000000"/>
          <w:kern w:val="24"/>
          <w:sz w:val="24"/>
          <w:szCs w:val="24"/>
        </w:rPr>
        <w:t>Mak</w:t>
      </w:r>
      <w:r w:rsidR="001F4BD8" w:rsidRPr="007F1EBC">
        <w:rPr>
          <w:rFonts w:ascii="Arial" w:eastAsia="+mn-ea" w:hAnsi="Arial" w:cs="Arial"/>
          <w:color w:val="000000"/>
          <w:kern w:val="24"/>
          <w:sz w:val="24"/>
          <w:szCs w:val="24"/>
        </w:rPr>
        <w:t>e</w:t>
      </w:r>
      <w:r w:rsidRPr="007F1EBC">
        <w:rPr>
          <w:rFonts w:ascii="Arial" w:eastAsia="+mn-ea" w:hAnsi="Arial" w:cs="Arial"/>
          <w:color w:val="000000"/>
          <w:kern w:val="24"/>
          <w:sz w:val="24"/>
          <w:szCs w:val="24"/>
        </w:rPr>
        <w:t xml:space="preserve"> 90</w:t>
      </w:r>
      <w:r w:rsidR="00CF7163" w:rsidRPr="007F1EBC">
        <w:rPr>
          <w:rFonts w:ascii="Arial" w:eastAsia="+mn-ea" w:hAnsi="Arial" w:cs="Arial"/>
          <w:color w:val="000000"/>
          <w:kern w:val="24"/>
          <w:sz w:val="24"/>
          <w:szCs w:val="24"/>
        </w:rPr>
        <w:t xml:space="preserve"> percent</w:t>
      </w:r>
      <w:r w:rsidRPr="007F1EBC">
        <w:rPr>
          <w:rFonts w:ascii="Arial" w:eastAsia="+mn-ea" w:hAnsi="Arial" w:cs="Arial"/>
          <w:color w:val="000000"/>
          <w:kern w:val="24"/>
          <w:sz w:val="24"/>
          <w:szCs w:val="24"/>
        </w:rPr>
        <w:t xml:space="preserve"> of permit decisions within 24 months</w:t>
      </w:r>
      <w:r w:rsidR="00DA6363" w:rsidRPr="007F1EBC">
        <w:rPr>
          <w:rFonts w:ascii="Arial" w:eastAsia="+mn-ea" w:hAnsi="Arial" w:cs="Arial"/>
          <w:color w:val="000000"/>
          <w:kern w:val="24"/>
          <w:sz w:val="24"/>
          <w:szCs w:val="24"/>
        </w:rPr>
        <w:t>.</w:t>
      </w:r>
    </w:p>
    <w:p w14:paraId="3E8268AB" w14:textId="70FD1F60" w:rsidR="008A4C4B" w:rsidRPr="007F1EBC" w:rsidRDefault="008A4C4B" w:rsidP="0070267C">
      <w:pPr>
        <w:spacing w:after="90"/>
        <w:rPr>
          <w:rFonts w:ascii="Arial" w:hAnsi="Arial" w:cs="Arial"/>
          <w:sz w:val="24"/>
          <w:szCs w:val="24"/>
        </w:rPr>
      </w:pPr>
      <w:r w:rsidRPr="007F1EBC">
        <w:rPr>
          <w:rFonts w:ascii="Arial" w:hAnsi="Arial" w:cs="Arial"/>
          <w:sz w:val="24"/>
          <w:szCs w:val="24"/>
        </w:rPr>
        <w:t xml:space="preserve">SB 673 strengthened protections for public health and the environment at hazardous waste facilities </w:t>
      </w:r>
      <w:r w:rsidR="00C17309">
        <w:rPr>
          <w:rFonts w:ascii="Arial" w:hAnsi="Arial" w:cs="Arial"/>
          <w:sz w:val="24"/>
          <w:szCs w:val="24"/>
        </w:rPr>
        <w:t>adding</w:t>
      </w:r>
      <w:r w:rsidRPr="007F1EBC">
        <w:rPr>
          <w:rFonts w:ascii="Arial" w:hAnsi="Arial" w:cs="Arial"/>
          <w:sz w:val="24"/>
          <w:szCs w:val="24"/>
        </w:rPr>
        <w:t xml:space="preserve"> new permitting criteria, </w:t>
      </w:r>
      <w:r w:rsidR="00C17309">
        <w:rPr>
          <w:rFonts w:ascii="Arial" w:hAnsi="Arial" w:cs="Arial"/>
          <w:sz w:val="24"/>
          <w:szCs w:val="24"/>
        </w:rPr>
        <w:t>including</w:t>
      </w:r>
      <w:r w:rsidRPr="007F1EBC">
        <w:rPr>
          <w:rFonts w:ascii="Arial" w:hAnsi="Arial" w:cs="Arial"/>
          <w:sz w:val="24"/>
          <w:szCs w:val="24"/>
        </w:rPr>
        <w:t xml:space="preserve"> the </w:t>
      </w:r>
      <w:r w:rsidR="00C17309">
        <w:rPr>
          <w:rFonts w:ascii="Arial" w:hAnsi="Arial" w:cs="Arial"/>
          <w:sz w:val="24"/>
          <w:szCs w:val="24"/>
        </w:rPr>
        <w:t>Vi</w:t>
      </w:r>
      <w:r w:rsidR="002A7164" w:rsidRPr="007F1EBC">
        <w:rPr>
          <w:rFonts w:ascii="Arial" w:hAnsi="Arial" w:cs="Arial"/>
          <w:sz w:val="24"/>
          <w:szCs w:val="24"/>
        </w:rPr>
        <w:t xml:space="preserve">olations </w:t>
      </w:r>
      <w:r w:rsidR="00C17309">
        <w:rPr>
          <w:rFonts w:ascii="Arial" w:hAnsi="Arial" w:cs="Arial"/>
          <w:sz w:val="24"/>
          <w:szCs w:val="24"/>
        </w:rPr>
        <w:t>S</w:t>
      </w:r>
      <w:r w:rsidRPr="007F1EBC">
        <w:rPr>
          <w:rFonts w:ascii="Arial" w:hAnsi="Arial" w:cs="Arial"/>
          <w:sz w:val="24"/>
          <w:szCs w:val="24"/>
        </w:rPr>
        <w:t xml:space="preserve">coring </w:t>
      </w:r>
      <w:r w:rsidR="00C17309">
        <w:rPr>
          <w:rFonts w:ascii="Arial" w:hAnsi="Arial" w:cs="Arial"/>
          <w:sz w:val="24"/>
          <w:szCs w:val="24"/>
        </w:rPr>
        <w:t>P</w:t>
      </w:r>
      <w:r w:rsidRPr="007F1EBC">
        <w:rPr>
          <w:rFonts w:ascii="Arial" w:hAnsi="Arial" w:cs="Arial"/>
          <w:sz w:val="24"/>
          <w:szCs w:val="24"/>
        </w:rPr>
        <w:t>rocedure</w:t>
      </w:r>
      <w:r w:rsidR="00C17309">
        <w:rPr>
          <w:rFonts w:ascii="Arial" w:hAnsi="Arial" w:cs="Arial"/>
          <w:sz w:val="24"/>
          <w:szCs w:val="24"/>
        </w:rPr>
        <w:t xml:space="preserve"> (VSP)</w:t>
      </w:r>
      <w:r w:rsidRPr="007F1EBC">
        <w:rPr>
          <w:rFonts w:ascii="Arial" w:hAnsi="Arial" w:cs="Arial"/>
          <w:sz w:val="24"/>
          <w:szCs w:val="24"/>
        </w:rPr>
        <w:t>. DTSC did not receive additional resources</w:t>
      </w:r>
      <w:r w:rsidR="00367D49" w:rsidRPr="007F1EBC">
        <w:rPr>
          <w:rFonts w:ascii="Arial" w:hAnsi="Arial" w:cs="Arial"/>
          <w:sz w:val="24"/>
          <w:szCs w:val="24"/>
        </w:rPr>
        <w:t xml:space="preserve"> to fully implement this </w:t>
      </w:r>
      <w:r w:rsidR="00367D49" w:rsidRPr="007F1EBC">
        <w:rPr>
          <w:rFonts w:ascii="Arial" w:hAnsi="Arial" w:cs="Arial"/>
          <w:sz w:val="24"/>
          <w:szCs w:val="24"/>
        </w:rPr>
        <w:lastRenderedPageBreak/>
        <w:t>mandate.</w:t>
      </w:r>
      <w:r w:rsidRPr="007F1EBC">
        <w:rPr>
          <w:rFonts w:ascii="Arial" w:hAnsi="Arial" w:cs="Arial"/>
          <w:sz w:val="24"/>
          <w:szCs w:val="24"/>
        </w:rPr>
        <w:t xml:space="preserve"> </w:t>
      </w:r>
      <w:r w:rsidR="00367D49" w:rsidRPr="007F1EBC">
        <w:rPr>
          <w:rFonts w:ascii="Arial" w:hAnsi="Arial" w:cs="Arial"/>
          <w:sz w:val="24"/>
          <w:szCs w:val="24"/>
        </w:rPr>
        <w:t xml:space="preserve">The analysis shows that </w:t>
      </w:r>
      <w:r w:rsidR="00EE4287">
        <w:rPr>
          <w:rFonts w:ascii="Arial" w:hAnsi="Arial" w:cs="Arial"/>
          <w:sz w:val="24"/>
          <w:szCs w:val="24"/>
        </w:rPr>
        <w:t>the redirection of</w:t>
      </w:r>
      <w:r w:rsidR="00C437CB" w:rsidRPr="007F1EBC">
        <w:rPr>
          <w:rFonts w:ascii="Arial" w:hAnsi="Arial" w:cs="Arial"/>
          <w:sz w:val="24"/>
          <w:szCs w:val="24"/>
        </w:rPr>
        <w:t xml:space="preserve"> </w:t>
      </w:r>
      <w:r w:rsidR="007C1921" w:rsidRPr="007F1EBC">
        <w:rPr>
          <w:rFonts w:ascii="Arial" w:hAnsi="Arial" w:cs="Arial"/>
          <w:sz w:val="24"/>
          <w:szCs w:val="24"/>
        </w:rPr>
        <w:t>two</w:t>
      </w:r>
      <w:r w:rsidR="00C437CB" w:rsidRPr="007F1EBC">
        <w:rPr>
          <w:rFonts w:ascii="Arial" w:hAnsi="Arial" w:cs="Arial"/>
          <w:sz w:val="24"/>
          <w:szCs w:val="24"/>
        </w:rPr>
        <w:t xml:space="preserve"> </w:t>
      </w:r>
      <w:r w:rsidR="007F1EBC">
        <w:rPr>
          <w:rFonts w:ascii="Arial" w:hAnsi="Arial" w:cs="Arial"/>
          <w:sz w:val="24"/>
          <w:szCs w:val="24"/>
        </w:rPr>
        <w:t>positions</w:t>
      </w:r>
      <w:r w:rsidR="00EE4287">
        <w:rPr>
          <w:rFonts w:ascii="Arial" w:hAnsi="Arial" w:cs="Arial"/>
          <w:sz w:val="24"/>
          <w:szCs w:val="24"/>
        </w:rPr>
        <w:t xml:space="preserve"> for implementation </w:t>
      </w:r>
      <w:r w:rsidR="00C17309">
        <w:rPr>
          <w:rFonts w:ascii="Arial" w:hAnsi="Arial" w:cs="Arial"/>
          <w:sz w:val="24"/>
          <w:szCs w:val="24"/>
        </w:rPr>
        <w:t xml:space="preserve">of VSP </w:t>
      </w:r>
      <w:r w:rsidR="00367D49" w:rsidRPr="007F1EBC">
        <w:rPr>
          <w:rFonts w:ascii="Arial" w:hAnsi="Arial" w:cs="Arial"/>
          <w:sz w:val="24"/>
          <w:szCs w:val="24"/>
        </w:rPr>
        <w:t xml:space="preserve">may result in </w:t>
      </w:r>
      <w:r w:rsidR="00C60073" w:rsidRPr="007F1EBC">
        <w:rPr>
          <w:rFonts w:ascii="Arial" w:hAnsi="Arial" w:cs="Arial"/>
          <w:sz w:val="24"/>
          <w:szCs w:val="24"/>
        </w:rPr>
        <w:t xml:space="preserve">three fewer </w:t>
      </w:r>
      <w:r w:rsidRPr="007F1EBC">
        <w:rPr>
          <w:rFonts w:ascii="Arial" w:hAnsi="Arial" w:cs="Arial"/>
          <w:sz w:val="24"/>
          <w:szCs w:val="24"/>
        </w:rPr>
        <w:t>annual permit decisions</w:t>
      </w:r>
      <w:r w:rsidR="00367D49" w:rsidRPr="007F1EBC">
        <w:rPr>
          <w:rFonts w:ascii="Arial" w:hAnsi="Arial" w:cs="Arial"/>
          <w:sz w:val="24"/>
          <w:szCs w:val="24"/>
        </w:rPr>
        <w:t>.</w:t>
      </w:r>
      <w:r w:rsidR="00D159BF">
        <w:rPr>
          <w:rFonts w:ascii="Arial" w:hAnsi="Arial" w:cs="Arial"/>
          <w:sz w:val="24"/>
          <w:szCs w:val="24"/>
        </w:rPr>
        <w:t xml:space="preserve"> M</w:t>
      </w:r>
      <w:r w:rsidR="001D665A" w:rsidRPr="007F1EBC">
        <w:rPr>
          <w:rFonts w:ascii="Arial" w:hAnsi="Arial" w:cs="Arial"/>
          <w:sz w:val="24"/>
          <w:szCs w:val="24"/>
        </w:rPr>
        <w:t>ore demands will be placed on</w:t>
      </w:r>
      <w:r w:rsidR="007C1CC3" w:rsidRPr="007F1EBC">
        <w:rPr>
          <w:rFonts w:ascii="Arial" w:hAnsi="Arial" w:cs="Arial"/>
          <w:sz w:val="24"/>
          <w:szCs w:val="24"/>
        </w:rPr>
        <w:t xml:space="preserve"> P</w:t>
      </w:r>
      <w:r w:rsidR="001D665A" w:rsidRPr="007F1EBC">
        <w:rPr>
          <w:rFonts w:ascii="Arial" w:hAnsi="Arial" w:cs="Arial"/>
          <w:sz w:val="24"/>
          <w:szCs w:val="24"/>
        </w:rPr>
        <w:t xml:space="preserve">ermitting </w:t>
      </w:r>
      <w:r w:rsidR="00EE4287">
        <w:rPr>
          <w:rFonts w:ascii="Arial" w:hAnsi="Arial" w:cs="Arial"/>
          <w:sz w:val="24"/>
          <w:szCs w:val="24"/>
        </w:rPr>
        <w:t xml:space="preserve">when </w:t>
      </w:r>
      <w:r w:rsidR="001D665A" w:rsidRPr="007F1EBC">
        <w:rPr>
          <w:rFonts w:ascii="Arial" w:hAnsi="Arial" w:cs="Arial"/>
          <w:sz w:val="24"/>
          <w:szCs w:val="24"/>
        </w:rPr>
        <w:t>the future SB 673 Track 2</w:t>
      </w:r>
      <w:r w:rsidR="007C1CC3" w:rsidRPr="007F1EBC">
        <w:rPr>
          <w:rFonts w:ascii="Arial" w:hAnsi="Arial" w:cs="Arial"/>
          <w:sz w:val="24"/>
          <w:szCs w:val="24"/>
        </w:rPr>
        <w:t xml:space="preserve"> regulations</w:t>
      </w:r>
      <w:r w:rsidR="001D665A" w:rsidRPr="007F1EBC">
        <w:rPr>
          <w:rFonts w:ascii="Arial" w:hAnsi="Arial" w:cs="Arial"/>
          <w:sz w:val="24"/>
          <w:szCs w:val="24"/>
        </w:rPr>
        <w:t>, not reflected in the workload analysis</w:t>
      </w:r>
      <w:r w:rsidR="00EE4287">
        <w:rPr>
          <w:rFonts w:ascii="Arial" w:hAnsi="Arial" w:cs="Arial"/>
          <w:sz w:val="24"/>
          <w:szCs w:val="24"/>
        </w:rPr>
        <w:t>, are adopted and implemented</w:t>
      </w:r>
      <w:r w:rsidR="001D665A" w:rsidRPr="007F1EBC">
        <w:rPr>
          <w:rFonts w:ascii="Arial" w:hAnsi="Arial" w:cs="Arial"/>
          <w:sz w:val="24"/>
          <w:szCs w:val="24"/>
        </w:rPr>
        <w:t>.</w:t>
      </w:r>
    </w:p>
    <w:p w14:paraId="4C4CD419" w14:textId="37D71F31" w:rsidR="00F82FEB" w:rsidRPr="007F1EBC" w:rsidRDefault="5DA6ECD2" w:rsidP="0070267C">
      <w:pPr>
        <w:spacing w:after="90"/>
        <w:rPr>
          <w:rFonts w:ascii="Arial" w:hAnsi="Arial" w:cs="Arial"/>
          <w:sz w:val="24"/>
          <w:szCs w:val="24"/>
        </w:rPr>
      </w:pPr>
      <w:r w:rsidRPr="007F1EBC">
        <w:rPr>
          <w:rFonts w:ascii="Arial" w:hAnsi="Arial" w:cs="Arial"/>
          <w:sz w:val="24"/>
          <w:szCs w:val="24"/>
        </w:rPr>
        <w:t xml:space="preserve">The CEQA </w:t>
      </w:r>
      <w:r w:rsidR="00922FFE" w:rsidRPr="007F1EBC">
        <w:rPr>
          <w:rFonts w:ascii="Arial" w:hAnsi="Arial" w:cs="Arial"/>
          <w:sz w:val="24"/>
          <w:szCs w:val="24"/>
        </w:rPr>
        <w:t>u</w:t>
      </w:r>
      <w:r w:rsidRPr="007F1EBC">
        <w:rPr>
          <w:rFonts w:ascii="Arial" w:hAnsi="Arial" w:cs="Arial"/>
          <w:sz w:val="24"/>
          <w:szCs w:val="24"/>
        </w:rPr>
        <w:t xml:space="preserve">nit processes hundreds of requests from local and state agencies for DTSC input on their projects and related CEQA analyses. However, the CEQA </w:t>
      </w:r>
      <w:r w:rsidR="00922FFE" w:rsidRPr="007F1EBC">
        <w:rPr>
          <w:rFonts w:ascii="Arial" w:hAnsi="Arial" w:cs="Arial"/>
          <w:sz w:val="24"/>
          <w:szCs w:val="24"/>
        </w:rPr>
        <w:t>u</w:t>
      </w:r>
      <w:r w:rsidRPr="007F1EBC">
        <w:rPr>
          <w:rFonts w:ascii="Arial" w:hAnsi="Arial" w:cs="Arial"/>
          <w:sz w:val="24"/>
          <w:szCs w:val="24"/>
        </w:rPr>
        <w:t>nit is not fully resourced for this mandated task</w:t>
      </w:r>
      <w:r w:rsidR="00321005" w:rsidRPr="007F1EBC">
        <w:rPr>
          <w:rFonts w:ascii="Arial" w:hAnsi="Arial" w:cs="Arial"/>
          <w:sz w:val="24"/>
          <w:szCs w:val="24"/>
        </w:rPr>
        <w:t>.</w:t>
      </w:r>
      <w:r w:rsidR="00E554C0">
        <w:rPr>
          <w:rStyle w:val="FootnoteReference"/>
          <w:rFonts w:ascii="Arial" w:hAnsi="Arial" w:cs="Arial"/>
          <w:sz w:val="24"/>
          <w:szCs w:val="24"/>
        </w:rPr>
        <w:footnoteReference w:id="4"/>
      </w:r>
      <w:r w:rsidRPr="007F1EBC">
        <w:rPr>
          <w:rFonts w:ascii="Arial" w:hAnsi="Arial" w:cs="Arial"/>
          <w:sz w:val="24"/>
          <w:szCs w:val="24"/>
        </w:rPr>
        <w:t xml:space="preserve"> Over the last four years, CEQA review requests have increased by 100 percent. Due to the increased workload, DTSC is </w:t>
      </w:r>
      <w:r w:rsidR="00BE75A9" w:rsidRPr="007F1EBC">
        <w:rPr>
          <w:rFonts w:ascii="Arial" w:hAnsi="Arial" w:cs="Arial"/>
          <w:sz w:val="24"/>
          <w:szCs w:val="24"/>
        </w:rPr>
        <w:t>un</w:t>
      </w:r>
      <w:r w:rsidRPr="007F1EBC">
        <w:rPr>
          <w:rFonts w:ascii="Arial" w:hAnsi="Arial" w:cs="Arial"/>
          <w:sz w:val="24"/>
          <w:szCs w:val="24"/>
        </w:rPr>
        <w:t xml:space="preserve">able to provide </w:t>
      </w:r>
      <w:r w:rsidR="00BE75A9" w:rsidRPr="007F1EBC">
        <w:rPr>
          <w:rFonts w:ascii="Arial" w:hAnsi="Arial" w:cs="Arial"/>
          <w:sz w:val="24"/>
          <w:szCs w:val="24"/>
        </w:rPr>
        <w:t xml:space="preserve">a </w:t>
      </w:r>
      <w:r w:rsidRPr="007F1EBC">
        <w:rPr>
          <w:rFonts w:ascii="Arial" w:hAnsi="Arial" w:cs="Arial"/>
          <w:sz w:val="24"/>
          <w:szCs w:val="24"/>
        </w:rPr>
        <w:t>minimally sufficient review</w:t>
      </w:r>
      <w:r w:rsidR="00BE75A9" w:rsidRPr="007F1EBC">
        <w:rPr>
          <w:rFonts w:ascii="Arial" w:hAnsi="Arial" w:cs="Arial"/>
          <w:sz w:val="24"/>
          <w:szCs w:val="24"/>
        </w:rPr>
        <w:t xml:space="preserve"> of those CEQA documents, </w:t>
      </w:r>
      <w:r w:rsidR="00C17309">
        <w:rPr>
          <w:rFonts w:ascii="Arial" w:hAnsi="Arial" w:cs="Arial"/>
          <w:sz w:val="24"/>
          <w:szCs w:val="24"/>
        </w:rPr>
        <w:t>which requires</w:t>
      </w:r>
      <w:r w:rsidRPr="007F1EBC">
        <w:rPr>
          <w:rFonts w:ascii="Arial" w:hAnsi="Arial" w:cs="Arial"/>
          <w:sz w:val="24"/>
          <w:szCs w:val="24"/>
        </w:rPr>
        <w:t xml:space="preserve"> 1.5 hours on average</w:t>
      </w:r>
      <w:r w:rsidR="00BE75A9" w:rsidRPr="007F1EBC">
        <w:rPr>
          <w:rFonts w:ascii="Arial" w:hAnsi="Arial" w:cs="Arial"/>
          <w:sz w:val="24"/>
          <w:szCs w:val="24"/>
        </w:rPr>
        <w:t xml:space="preserve"> per document. This equates</w:t>
      </w:r>
      <w:r w:rsidRPr="007F1EBC">
        <w:rPr>
          <w:rFonts w:ascii="Arial" w:hAnsi="Arial" w:cs="Arial"/>
          <w:sz w:val="24"/>
          <w:szCs w:val="24"/>
        </w:rPr>
        <w:t xml:space="preserve"> to an increased workload of two </w:t>
      </w:r>
      <w:r w:rsidR="007F1EBC">
        <w:rPr>
          <w:rFonts w:ascii="Arial" w:hAnsi="Arial" w:cs="Arial"/>
          <w:sz w:val="24"/>
          <w:szCs w:val="24"/>
        </w:rPr>
        <w:t>positions</w:t>
      </w:r>
      <w:r w:rsidRPr="007F1EBC">
        <w:rPr>
          <w:rFonts w:ascii="Arial" w:hAnsi="Arial" w:cs="Arial"/>
          <w:sz w:val="24"/>
          <w:szCs w:val="24"/>
        </w:rPr>
        <w:t>.</w:t>
      </w:r>
    </w:p>
    <w:p w14:paraId="7D133BB1" w14:textId="77777777" w:rsidR="007F1EBC" w:rsidRDefault="007F1EBC" w:rsidP="0070267C">
      <w:pPr>
        <w:spacing w:after="90" w:line="240" w:lineRule="auto"/>
        <w:rPr>
          <w:rFonts w:ascii="Arial" w:hAnsi="Arial" w:cs="Arial"/>
          <w:b/>
          <w:bCs/>
          <w:sz w:val="24"/>
          <w:szCs w:val="24"/>
        </w:rPr>
      </w:pPr>
    </w:p>
    <w:p w14:paraId="2772E7C7" w14:textId="07810E6E" w:rsidR="008069AA" w:rsidRPr="007F1EBC" w:rsidRDefault="0096581B" w:rsidP="0070267C">
      <w:pPr>
        <w:spacing w:after="90" w:line="240" w:lineRule="auto"/>
        <w:rPr>
          <w:rFonts w:ascii="Arial" w:hAnsi="Arial" w:cs="Arial"/>
          <w:sz w:val="24"/>
          <w:szCs w:val="24"/>
        </w:rPr>
      </w:pPr>
      <w:r w:rsidRPr="007F1EBC">
        <w:rPr>
          <w:rFonts w:ascii="Arial" w:hAnsi="Arial" w:cs="Arial"/>
          <w:b/>
          <w:bCs/>
          <w:sz w:val="24"/>
          <w:szCs w:val="24"/>
        </w:rPr>
        <w:t>Conclusion</w:t>
      </w:r>
    </w:p>
    <w:p w14:paraId="3BB7F40C" w14:textId="5864A0D8" w:rsidR="00510E36" w:rsidRPr="007F1EBC" w:rsidRDefault="5DA6ECD2" w:rsidP="0070267C">
      <w:pPr>
        <w:spacing w:after="90"/>
        <w:rPr>
          <w:rFonts w:ascii="Arial" w:hAnsi="Arial" w:cs="Arial"/>
          <w:sz w:val="24"/>
          <w:szCs w:val="24"/>
        </w:rPr>
      </w:pPr>
      <w:r w:rsidRPr="007F1EBC">
        <w:rPr>
          <w:rFonts w:ascii="Arial" w:hAnsi="Arial" w:cs="Arial"/>
          <w:sz w:val="24"/>
          <w:szCs w:val="24"/>
        </w:rPr>
        <w:t xml:space="preserve">The Agency Secretary has established a high priority on enforcement throughout CalEPA. This includes coordination </w:t>
      </w:r>
      <w:r w:rsidR="00EB6C2C" w:rsidRPr="007F1EBC">
        <w:rPr>
          <w:rFonts w:ascii="Arial" w:hAnsi="Arial" w:cs="Arial"/>
          <w:sz w:val="24"/>
          <w:szCs w:val="24"/>
        </w:rPr>
        <w:t xml:space="preserve">between </w:t>
      </w:r>
      <w:r w:rsidR="007D43E1" w:rsidRPr="007F1EBC">
        <w:rPr>
          <w:rFonts w:ascii="Arial" w:hAnsi="Arial" w:cs="Arial"/>
          <w:sz w:val="24"/>
          <w:szCs w:val="24"/>
        </w:rPr>
        <w:t xml:space="preserve">Statewide </w:t>
      </w:r>
      <w:r w:rsidRPr="007F1EBC">
        <w:rPr>
          <w:rFonts w:ascii="Arial" w:hAnsi="Arial" w:cs="Arial"/>
          <w:sz w:val="24"/>
          <w:szCs w:val="24"/>
        </w:rPr>
        <w:t xml:space="preserve">Enforcement and Permitting </w:t>
      </w:r>
      <w:r w:rsidR="00EB6C2C" w:rsidRPr="007F1EBC">
        <w:rPr>
          <w:rFonts w:ascii="Arial" w:hAnsi="Arial" w:cs="Arial"/>
          <w:sz w:val="24"/>
          <w:szCs w:val="24"/>
        </w:rPr>
        <w:t xml:space="preserve">for </w:t>
      </w:r>
      <w:r w:rsidRPr="007F1EBC">
        <w:rPr>
          <w:rFonts w:ascii="Arial" w:hAnsi="Arial" w:cs="Arial"/>
          <w:sz w:val="24"/>
          <w:szCs w:val="24"/>
        </w:rPr>
        <w:t>the development and implementation of new regulations to proactively address existing environmental justice issues. The findings, data, and analyses from this workload analysis demonstrate that the Permitting Division does not have adequate resources to fulfill its statutory mandates and achieve CalEPA’s goals.</w:t>
      </w:r>
    </w:p>
    <w:p w14:paraId="7ACE8025" w14:textId="4F8B763E" w:rsidR="00321005" w:rsidRPr="00960ED5" w:rsidRDefault="00C17309" w:rsidP="0070267C">
      <w:pPr>
        <w:spacing w:after="90"/>
        <w:rPr>
          <w:rFonts w:ascii="Arial" w:eastAsia="+mn-ea" w:hAnsi="Arial" w:cs="Arial"/>
          <w:color w:val="000000"/>
          <w:kern w:val="24"/>
          <w:sz w:val="24"/>
          <w:szCs w:val="24"/>
        </w:rPr>
      </w:pPr>
      <w:r>
        <w:rPr>
          <w:rFonts w:ascii="Arial" w:hAnsi="Arial" w:cs="Arial"/>
          <w:sz w:val="24"/>
          <w:szCs w:val="24"/>
        </w:rPr>
        <w:t>The workload analysis identified VSP</w:t>
      </w:r>
      <w:r w:rsidR="5DA6ECD2" w:rsidRPr="007F1EBC">
        <w:rPr>
          <w:rFonts w:ascii="Arial" w:hAnsi="Arial" w:cs="Arial"/>
          <w:sz w:val="24"/>
          <w:szCs w:val="24"/>
        </w:rPr>
        <w:t xml:space="preserve"> and CEQA </w:t>
      </w:r>
      <w:r>
        <w:rPr>
          <w:rFonts w:ascii="Arial" w:hAnsi="Arial" w:cs="Arial"/>
          <w:sz w:val="24"/>
          <w:szCs w:val="24"/>
        </w:rPr>
        <w:t>as</w:t>
      </w:r>
      <w:r w:rsidR="5DA6ECD2" w:rsidRPr="007F1EBC">
        <w:rPr>
          <w:rFonts w:ascii="Arial" w:hAnsi="Arial" w:cs="Arial"/>
          <w:sz w:val="24"/>
          <w:szCs w:val="24"/>
        </w:rPr>
        <w:t xml:space="preserve"> activities with resource gaps </w:t>
      </w:r>
      <w:r>
        <w:rPr>
          <w:rFonts w:ascii="Arial" w:hAnsi="Arial" w:cs="Arial"/>
          <w:sz w:val="24"/>
          <w:szCs w:val="24"/>
        </w:rPr>
        <w:t>that have impacted</w:t>
      </w:r>
      <w:r w:rsidR="5DA6ECD2" w:rsidRPr="007F1EBC">
        <w:rPr>
          <w:rFonts w:ascii="Arial" w:hAnsi="Arial" w:cs="Arial"/>
          <w:sz w:val="24"/>
          <w:szCs w:val="24"/>
        </w:rPr>
        <w:t xml:space="preserve"> </w:t>
      </w:r>
      <w:r w:rsidR="5DA6ECD2" w:rsidRPr="00960ED5">
        <w:rPr>
          <w:rFonts w:ascii="Arial" w:hAnsi="Arial" w:cs="Arial"/>
          <w:sz w:val="24"/>
          <w:szCs w:val="24"/>
        </w:rPr>
        <w:t xml:space="preserve">essential services in Permitting. Four additional </w:t>
      </w:r>
      <w:r w:rsidR="00F169E9" w:rsidRPr="00960ED5">
        <w:rPr>
          <w:rFonts w:ascii="Arial" w:hAnsi="Arial" w:cs="Arial"/>
          <w:sz w:val="24"/>
          <w:szCs w:val="24"/>
        </w:rPr>
        <w:t xml:space="preserve">staff </w:t>
      </w:r>
      <w:r w:rsidR="5DA6ECD2" w:rsidRPr="00960ED5">
        <w:rPr>
          <w:rFonts w:ascii="Arial" w:hAnsi="Arial" w:cs="Arial"/>
          <w:sz w:val="24"/>
          <w:szCs w:val="24"/>
        </w:rPr>
        <w:t>would enable Permitting to:</w:t>
      </w:r>
    </w:p>
    <w:p w14:paraId="2CE86FE5" w14:textId="7B8016FD" w:rsidR="00F848B5" w:rsidRPr="00960ED5" w:rsidRDefault="00E93C15">
      <w:pPr>
        <w:numPr>
          <w:ilvl w:val="0"/>
          <w:numId w:val="19"/>
        </w:numPr>
        <w:spacing w:after="0"/>
        <w:ind w:left="720"/>
        <w:rPr>
          <w:sz w:val="24"/>
          <w:szCs w:val="24"/>
        </w:rPr>
      </w:pPr>
      <w:r w:rsidRPr="00960ED5">
        <w:rPr>
          <w:rFonts w:ascii="Arial" w:eastAsia="+mn-ea" w:hAnsi="Arial" w:cs="Arial"/>
          <w:color w:val="000000"/>
          <w:kern w:val="24"/>
          <w:sz w:val="24"/>
          <w:szCs w:val="24"/>
        </w:rPr>
        <w:t>R</w:t>
      </w:r>
      <w:r w:rsidR="00D56D0A" w:rsidRPr="00960ED5">
        <w:rPr>
          <w:rFonts w:ascii="Arial" w:eastAsia="+mn-ea" w:hAnsi="Arial" w:cs="Arial"/>
          <w:color w:val="000000"/>
          <w:kern w:val="24"/>
          <w:sz w:val="24"/>
          <w:szCs w:val="24"/>
        </w:rPr>
        <w:t xml:space="preserve">estore the resources </w:t>
      </w:r>
      <w:r w:rsidR="00C17309">
        <w:rPr>
          <w:rFonts w:ascii="Arial" w:eastAsia="+mn-ea" w:hAnsi="Arial" w:cs="Arial"/>
          <w:color w:val="000000"/>
          <w:kern w:val="24"/>
          <w:sz w:val="24"/>
          <w:szCs w:val="24"/>
        </w:rPr>
        <w:t>redirected to implement VSP</w:t>
      </w:r>
      <w:r w:rsidRPr="00960ED5">
        <w:rPr>
          <w:rFonts w:ascii="Arial" w:eastAsia="+mn-ea" w:hAnsi="Arial" w:cs="Arial"/>
          <w:color w:val="000000"/>
          <w:kern w:val="24"/>
          <w:sz w:val="24"/>
          <w:szCs w:val="24"/>
        </w:rPr>
        <w:t>;</w:t>
      </w:r>
      <w:r w:rsidR="00D56D0A" w:rsidRPr="00960ED5">
        <w:rPr>
          <w:rFonts w:ascii="Arial" w:eastAsia="+mn-ea" w:hAnsi="Arial" w:cs="Arial"/>
          <w:color w:val="000000"/>
          <w:kern w:val="24"/>
          <w:sz w:val="24"/>
          <w:szCs w:val="24"/>
        </w:rPr>
        <w:t xml:space="preserve"> and </w:t>
      </w:r>
    </w:p>
    <w:p w14:paraId="37747598" w14:textId="3794488B" w:rsidR="00FA0741" w:rsidRPr="00960ED5" w:rsidRDefault="00C17309" w:rsidP="0070267C">
      <w:pPr>
        <w:numPr>
          <w:ilvl w:val="0"/>
          <w:numId w:val="19"/>
        </w:numPr>
        <w:spacing w:after="100"/>
        <w:ind w:left="720"/>
        <w:rPr>
          <w:sz w:val="24"/>
          <w:szCs w:val="24"/>
        </w:rPr>
      </w:pPr>
      <w:r>
        <w:rPr>
          <w:rFonts w:ascii="Arial" w:eastAsia="+mn-ea" w:hAnsi="Arial" w:cs="Arial"/>
          <w:color w:val="000000"/>
          <w:kern w:val="24"/>
          <w:sz w:val="24"/>
          <w:szCs w:val="24"/>
        </w:rPr>
        <w:t>Review</w:t>
      </w:r>
      <w:r w:rsidR="005D0420" w:rsidRPr="00960ED5">
        <w:rPr>
          <w:rFonts w:ascii="Arial" w:eastAsia="+mn-ea" w:hAnsi="Arial" w:cs="Arial"/>
          <w:color w:val="000000"/>
          <w:kern w:val="24"/>
          <w:sz w:val="24"/>
          <w:szCs w:val="24"/>
        </w:rPr>
        <w:t xml:space="preserve"> </w:t>
      </w:r>
      <w:r w:rsidR="00D56D0A" w:rsidRPr="00960ED5">
        <w:rPr>
          <w:rFonts w:ascii="Arial" w:eastAsia="+mn-ea" w:hAnsi="Arial" w:cs="Arial"/>
          <w:color w:val="000000"/>
          <w:kern w:val="24"/>
          <w:sz w:val="24"/>
          <w:szCs w:val="24"/>
        </w:rPr>
        <w:t>CEQA documents submitted by other agencies.</w:t>
      </w:r>
    </w:p>
    <w:sectPr w:rsidR="00FA0741" w:rsidRPr="00960ED5" w:rsidSect="00BE4EFC">
      <w:footerReference w:type="default" r:id="rId11"/>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7532" w14:textId="77777777" w:rsidR="007F25FA" w:rsidRDefault="007F25FA" w:rsidP="000715DF">
      <w:pPr>
        <w:spacing w:after="0" w:line="240" w:lineRule="auto"/>
      </w:pPr>
      <w:r>
        <w:separator/>
      </w:r>
    </w:p>
  </w:endnote>
  <w:endnote w:type="continuationSeparator" w:id="0">
    <w:p w14:paraId="4E4DF045" w14:textId="77777777" w:rsidR="007F25FA" w:rsidRDefault="007F25FA" w:rsidP="000715DF">
      <w:pPr>
        <w:spacing w:after="0" w:line="240" w:lineRule="auto"/>
      </w:pPr>
      <w:r>
        <w:continuationSeparator/>
      </w:r>
    </w:p>
  </w:endnote>
  <w:endnote w:type="continuationNotice" w:id="1">
    <w:p w14:paraId="773D6B8C" w14:textId="77777777" w:rsidR="007F25FA" w:rsidRDefault="007F2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DE0F" w14:textId="73CAD6BF" w:rsidR="000715DF" w:rsidRPr="00BE4EFC" w:rsidRDefault="00BE4EFC">
    <w:pPr>
      <w:pStyle w:val="Footer"/>
      <w:rPr>
        <w:rFonts w:ascii="Arial" w:hAnsi="Arial" w:cs="Arial"/>
        <w:sz w:val="24"/>
        <w:szCs w:val="24"/>
      </w:rPr>
    </w:pPr>
    <w:r>
      <w:rPr>
        <w:rFonts w:ascii="Arial" w:hAnsi="Arial" w:cs="Arial"/>
        <w:sz w:val="24"/>
        <w:szCs w:val="24"/>
      </w:rPr>
      <w:t>October 26</w:t>
    </w:r>
    <w:r w:rsidR="00CB13BA" w:rsidRPr="00CB13BA">
      <w:rPr>
        <w:rFonts w:ascii="Arial" w:hAnsi="Arial" w:cs="Arial"/>
        <w:sz w:val="24"/>
        <w:szCs w:val="24"/>
      </w:rPr>
      <w:t>, 2020</w:t>
    </w:r>
    <w:r w:rsidR="00CB13BA" w:rsidRPr="00CB13BA">
      <w:rPr>
        <w:rFonts w:ascii="Arial" w:hAnsi="Arial" w:cs="Arial"/>
        <w:sz w:val="24"/>
        <w:szCs w:val="24"/>
      </w:rPr>
      <w:tab/>
    </w:r>
    <w:r w:rsidR="00CB13BA" w:rsidRPr="00CB13BA">
      <w:rPr>
        <w:rFonts w:ascii="Arial" w:hAnsi="Arial" w:cs="Arial"/>
        <w:sz w:val="24"/>
        <w:szCs w:val="24"/>
      </w:rPr>
      <w:tab/>
    </w:r>
    <w:sdt>
      <w:sdtPr>
        <w:rPr>
          <w:rFonts w:ascii="Arial" w:hAnsi="Arial" w:cs="Arial"/>
          <w:sz w:val="24"/>
          <w:szCs w:val="24"/>
        </w:rPr>
        <w:id w:val="-501510823"/>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r w:rsidR="00CB13BA" w:rsidRPr="00CB13BA">
              <w:rPr>
                <w:rFonts w:ascii="Arial" w:hAnsi="Arial" w:cs="Arial"/>
                <w:sz w:val="24"/>
                <w:szCs w:val="24"/>
              </w:rPr>
              <w:t xml:space="preserve">Page </w:t>
            </w:r>
            <w:r w:rsidR="00CB13BA" w:rsidRPr="00CB13BA">
              <w:rPr>
                <w:rFonts w:ascii="Arial" w:hAnsi="Arial" w:cs="Arial"/>
                <w:b/>
                <w:bCs/>
                <w:sz w:val="24"/>
                <w:szCs w:val="24"/>
              </w:rPr>
              <w:fldChar w:fldCharType="begin"/>
            </w:r>
            <w:r w:rsidR="00CB13BA" w:rsidRPr="00CB13BA">
              <w:rPr>
                <w:rFonts w:ascii="Arial" w:hAnsi="Arial" w:cs="Arial"/>
                <w:b/>
                <w:bCs/>
                <w:sz w:val="24"/>
                <w:szCs w:val="24"/>
              </w:rPr>
              <w:instrText xml:space="preserve"> PAGE </w:instrText>
            </w:r>
            <w:r w:rsidR="00CB13BA" w:rsidRPr="00CB13BA">
              <w:rPr>
                <w:rFonts w:ascii="Arial" w:hAnsi="Arial" w:cs="Arial"/>
                <w:b/>
                <w:bCs/>
                <w:sz w:val="24"/>
                <w:szCs w:val="24"/>
              </w:rPr>
              <w:fldChar w:fldCharType="separate"/>
            </w:r>
            <w:r w:rsidR="00CB13BA" w:rsidRPr="00CB13BA">
              <w:rPr>
                <w:rFonts w:ascii="Arial" w:hAnsi="Arial" w:cs="Arial"/>
                <w:b/>
                <w:bCs/>
                <w:noProof/>
                <w:sz w:val="24"/>
                <w:szCs w:val="24"/>
              </w:rPr>
              <w:t>2</w:t>
            </w:r>
            <w:r w:rsidR="00CB13BA" w:rsidRPr="00CB13BA">
              <w:rPr>
                <w:rFonts w:ascii="Arial" w:hAnsi="Arial" w:cs="Arial"/>
                <w:b/>
                <w:bCs/>
                <w:sz w:val="24"/>
                <w:szCs w:val="24"/>
              </w:rPr>
              <w:fldChar w:fldCharType="end"/>
            </w:r>
            <w:r w:rsidR="00CB13BA" w:rsidRPr="00CB13BA">
              <w:rPr>
                <w:rFonts w:ascii="Arial" w:hAnsi="Arial" w:cs="Arial"/>
                <w:sz w:val="24"/>
                <w:szCs w:val="24"/>
              </w:rPr>
              <w:t xml:space="preserve"> of </w:t>
            </w:r>
            <w:r w:rsidR="00CB13BA" w:rsidRPr="00CB13BA">
              <w:rPr>
                <w:rFonts w:ascii="Arial" w:hAnsi="Arial" w:cs="Arial"/>
                <w:b/>
                <w:bCs/>
                <w:sz w:val="24"/>
                <w:szCs w:val="24"/>
              </w:rPr>
              <w:fldChar w:fldCharType="begin"/>
            </w:r>
            <w:r w:rsidR="00CB13BA" w:rsidRPr="00CB13BA">
              <w:rPr>
                <w:rFonts w:ascii="Arial" w:hAnsi="Arial" w:cs="Arial"/>
                <w:b/>
                <w:bCs/>
                <w:sz w:val="24"/>
                <w:szCs w:val="24"/>
              </w:rPr>
              <w:instrText xml:space="preserve"> NUMPAGES  </w:instrText>
            </w:r>
            <w:r w:rsidR="00CB13BA" w:rsidRPr="00CB13BA">
              <w:rPr>
                <w:rFonts w:ascii="Arial" w:hAnsi="Arial" w:cs="Arial"/>
                <w:b/>
                <w:bCs/>
                <w:sz w:val="24"/>
                <w:szCs w:val="24"/>
              </w:rPr>
              <w:fldChar w:fldCharType="separate"/>
            </w:r>
            <w:r w:rsidR="00CB13BA" w:rsidRPr="00CB13BA">
              <w:rPr>
                <w:rFonts w:ascii="Arial" w:hAnsi="Arial" w:cs="Arial"/>
                <w:b/>
                <w:bCs/>
                <w:noProof/>
                <w:sz w:val="24"/>
                <w:szCs w:val="24"/>
              </w:rPr>
              <w:t>2</w:t>
            </w:r>
            <w:r w:rsidR="00CB13BA" w:rsidRPr="00CB13BA">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5F83" w14:textId="77777777" w:rsidR="007F25FA" w:rsidRDefault="007F25FA" w:rsidP="000715DF">
      <w:pPr>
        <w:spacing w:after="0" w:line="240" w:lineRule="auto"/>
      </w:pPr>
      <w:r>
        <w:separator/>
      </w:r>
    </w:p>
  </w:footnote>
  <w:footnote w:type="continuationSeparator" w:id="0">
    <w:p w14:paraId="5F0796AE" w14:textId="77777777" w:rsidR="007F25FA" w:rsidRDefault="007F25FA" w:rsidP="000715DF">
      <w:pPr>
        <w:spacing w:after="0" w:line="240" w:lineRule="auto"/>
      </w:pPr>
      <w:r>
        <w:continuationSeparator/>
      </w:r>
    </w:p>
  </w:footnote>
  <w:footnote w:type="continuationNotice" w:id="1">
    <w:p w14:paraId="60A63CCC" w14:textId="77777777" w:rsidR="007F25FA" w:rsidRDefault="007F25FA">
      <w:pPr>
        <w:spacing w:after="0" w:line="240" w:lineRule="auto"/>
      </w:pPr>
    </w:p>
  </w:footnote>
  <w:footnote w:id="2">
    <w:p w14:paraId="65BAF63B" w14:textId="04355B2D" w:rsidR="00E554C0" w:rsidRDefault="00E554C0">
      <w:pPr>
        <w:pStyle w:val="FootnoteText"/>
      </w:pPr>
      <w:r>
        <w:rPr>
          <w:rStyle w:val="FootnoteReference"/>
        </w:rPr>
        <w:footnoteRef/>
      </w:r>
      <w:r>
        <w:t xml:space="preserve"> </w:t>
      </w:r>
      <w:r w:rsidRPr="00A54400">
        <w:rPr>
          <w:rFonts w:ascii="Arial" w:eastAsia="+mn-ea" w:hAnsi="Arial" w:cs="Arial"/>
          <w:color w:val="000000"/>
          <w:kern w:val="24"/>
          <w:sz w:val="16"/>
          <w:szCs w:val="16"/>
        </w:rPr>
        <w:t xml:space="preserve">Health and Safety Code </w:t>
      </w:r>
      <w:r w:rsidR="003316BF">
        <w:rPr>
          <w:rFonts w:ascii="Arial" w:eastAsia="+mn-ea" w:hAnsi="Arial" w:cs="Arial"/>
          <w:color w:val="000000"/>
          <w:kern w:val="24"/>
          <w:sz w:val="16"/>
          <w:szCs w:val="16"/>
        </w:rPr>
        <w:t>di</w:t>
      </w:r>
      <w:r w:rsidRPr="00A54400">
        <w:rPr>
          <w:rFonts w:ascii="Arial" w:eastAsia="+mn-ea" w:hAnsi="Arial" w:cs="Arial"/>
          <w:color w:val="000000"/>
          <w:kern w:val="24"/>
          <w:sz w:val="16"/>
          <w:szCs w:val="16"/>
        </w:rPr>
        <w:t>v</w:t>
      </w:r>
      <w:r w:rsidR="00D50657">
        <w:rPr>
          <w:rFonts w:ascii="Arial" w:eastAsia="+mn-ea" w:hAnsi="Arial" w:cs="Arial"/>
          <w:color w:val="000000"/>
          <w:kern w:val="24"/>
          <w:sz w:val="16"/>
          <w:szCs w:val="16"/>
        </w:rPr>
        <w:t>ision</w:t>
      </w:r>
      <w:r w:rsidRPr="00A54400">
        <w:rPr>
          <w:rFonts w:ascii="Arial" w:eastAsia="+mn-ea" w:hAnsi="Arial" w:cs="Arial"/>
          <w:color w:val="000000"/>
          <w:kern w:val="24"/>
          <w:sz w:val="16"/>
          <w:szCs w:val="16"/>
        </w:rPr>
        <w:t xml:space="preserve"> 20</w:t>
      </w:r>
      <w:r w:rsidR="003316BF">
        <w:rPr>
          <w:rFonts w:ascii="Arial" w:eastAsia="+mn-ea" w:hAnsi="Arial" w:cs="Arial"/>
          <w:color w:val="000000"/>
          <w:kern w:val="24"/>
          <w:sz w:val="16"/>
          <w:szCs w:val="16"/>
        </w:rPr>
        <w:t>,</w:t>
      </w:r>
      <w:r w:rsidRPr="00A54400">
        <w:rPr>
          <w:rFonts w:ascii="Arial" w:eastAsia="+mn-ea" w:hAnsi="Arial" w:cs="Arial"/>
          <w:color w:val="000000"/>
          <w:kern w:val="24"/>
          <w:sz w:val="16"/>
          <w:szCs w:val="16"/>
        </w:rPr>
        <w:t xml:space="preserve"> </w:t>
      </w:r>
      <w:r w:rsidR="00865136">
        <w:rPr>
          <w:rFonts w:ascii="Arial" w:eastAsia="+mn-ea" w:hAnsi="Arial" w:cs="Arial"/>
          <w:color w:val="000000"/>
          <w:kern w:val="24"/>
          <w:sz w:val="16"/>
          <w:szCs w:val="16"/>
        </w:rPr>
        <w:t>c</w:t>
      </w:r>
      <w:r w:rsidRPr="00A54400">
        <w:rPr>
          <w:rFonts w:ascii="Arial" w:eastAsia="+mn-ea" w:hAnsi="Arial" w:cs="Arial"/>
          <w:color w:val="000000"/>
          <w:kern w:val="24"/>
          <w:sz w:val="16"/>
          <w:szCs w:val="16"/>
        </w:rPr>
        <w:t>h</w:t>
      </w:r>
      <w:r w:rsidR="00D50657">
        <w:rPr>
          <w:rFonts w:ascii="Arial" w:eastAsia="+mn-ea" w:hAnsi="Arial" w:cs="Arial"/>
          <w:color w:val="000000"/>
          <w:kern w:val="24"/>
          <w:sz w:val="16"/>
          <w:szCs w:val="16"/>
        </w:rPr>
        <w:t>apter</w:t>
      </w:r>
      <w:r w:rsidRPr="00A54400">
        <w:rPr>
          <w:rFonts w:ascii="Arial" w:eastAsia="+mn-ea" w:hAnsi="Arial" w:cs="Arial"/>
          <w:color w:val="000000"/>
          <w:kern w:val="24"/>
          <w:sz w:val="16"/>
          <w:szCs w:val="16"/>
        </w:rPr>
        <w:t xml:space="preserve"> 6.5</w:t>
      </w:r>
      <w:r w:rsidR="003316BF">
        <w:rPr>
          <w:rFonts w:ascii="Arial" w:eastAsia="+mn-ea" w:hAnsi="Arial" w:cs="Arial"/>
          <w:color w:val="000000"/>
          <w:kern w:val="24"/>
          <w:sz w:val="16"/>
          <w:szCs w:val="16"/>
        </w:rPr>
        <w:t>,</w:t>
      </w:r>
      <w:r w:rsidR="00865136">
        <w:rPr>
          <w:rFonts w:ascii="Arial" w:eastAsia="+mn-ea" w:hAnsi="Arial" w:cs="Arial"/>
          <w:color w:val="000000"/>
          <w:kern w:val="24"/>
          <w:sz w:val="16"/>
          <w:szCs w:val="16"/>
        </w:rPr>
        <w:t xml:space="preserve"> section </w:t>
      </w:r>
      <w:r w:rsidRPr="00A54400">
        <w:rPr>
          <w:rFonts w:ascii="Arial" w:eastAsia="+mn-ea" w:hAnsi="Arial" w:cs="Arial"/>
          <w:color w:val="000000"/>
          <w:kern w:val="24"/>
          <w:sz w:val="16"/>
          <w:szCs w:val="16"/>
        </w:rPr>
        <w:t>25200(a)</w:t>
      </w:r>
    </w:p>
  </w:footnote>
  <w:footnote w:id="3">
    <w:p w14:paraId="1E2C6BA0" w14:textId="3FBE2DE3" w:rsidR="00EA7AE5" w:rsidRDefault="00EA7AE5">
      <w:pPr>
        <w:pStyle w:val="FootnoteText"/>
      </w:pPr>
      <w:r>
        <w:rPr>
          <w:rStyle w:val="FootnoteReference"/>
        </w:rPr>
        <w:footnoteRef/>
      </w:r>
      <w:r>
        <w:t xml:space="preserve"> Of the 67.5 authorized positions, the workload analysis included 63.5 positions, as unfunded and executive office positions were not included in the analysis.  The operating budget includes facility and indirect costs.  </w:t>
      </w:r>
    </w:p>
  </w:footnote>
  <w:footnote w:id="4">
    <w:p w14:paraId="52D468E0" w14:textId="08213CD8" w:rsidR="00E554C0" w:rsidRPr="00E554C0" w:rsidRDefault="00E554C0" w:rsidP="00E554C0">
      <w:pPr>
        <w:pStyle w:val="Footer"/>
        <w:spacing w:after="120"/>
        <w:rPr>
          <w:rFonts w:ascii="Arial" w:hAnsi="Arial" w:cs="Arial"/>
          <w:sz w:val="16"/>
          <w:szCs w:val="16"/>
        </w:rPr>
      </w:pPr>
      <w:r>
        <w:rPr>
          <w:rStyle w:val="FootnoteReference"/>
        </w:rPr>
        <w:footnoteRef/>
      </w:r>
      <w:r w:rsidR="00771A89" w:rsidRPr="00A54400">
        <w:rPr>
          <w:rFonts w:ascii="Arial" w:hAnsi="Arial" w:cs="Arial"/>
          <w:sz w:val="16"/>
          <w:szCs w:val="16"/>
        </w:rPr>
        <w:t xml:space="preserve">Public Resources Code </w:t>
      </w:r>
      <w:r w:rsidR="003316BF">
        <w:rPr>
          <w:rFonts w:ascii="Arial" w:hAnsi="Arial" w:cs="Arial"/>
          <w:sz w:val="16"/>
          <w:szCs w:val="16"/>
        </w:rPr>
        <w:t>d</w:t>
      </w:r>
      <w:r w:rsidR="00865136">
        <w:rPr>
          <w:rFonts w:ascii="Arial" w:hAnsi="Arial" w:cs="Arial"/>
          <w:sz w:val="16"/>
          <w:szCs w:val="16"/>
        </w:rPr>
        <w:t>i</w:t>
      </w:r>
      <w:r w:rsidR="00771A89" w:rsidRPr="00A54400">
        <w:rPr>
          <w:rFonts w:ascii="Arial" w:hAnsi="Arial" w:cs="Arial"/>
          <w:sz w:val="16"/>
          <w:szCs w:val="16"/>
        </w:rPr>
        <w:t>v</w:t>
      </w:r>
      <w:r w:rsidR="00A6150C">
        <w:rPr>
          <w:rFonts w:ascii="Arial" w:hAnsi="Arial" w:cs="Arial"/>
          <w:sz w:val="16"/>
          <w:szCs w:val="16"/>
        </w:rPr>
        <w:t>ision</w:t>
      </w:r>
      <w:r w:rsidR="00771A89" w:rsidRPr="00A54400">
        <w:rPr>
          <w:rFonts w:ascii="Arial" w:hAnsi="Arial" w:cs="Arial"/>
          <w:sz w:val="16"/>
          <w:szCs w:val="16"/>
        </w:rPr>
        <w:t xml:space="preserve"> 13</w:t>
      </w:r>
      <w:r w:rsidR="003316BF">
        <w:rPr>
          <w:rFonts w:ascii="Arial" w:hAnsi="Arial" w:cs="Arial"/>
          <w:sz w:val="16"/>
          <w:szCs w:val="16"/>
        </w:rPr>
        <w:t>,</w:t>
      </w:r>
      <w:r w:rsidR="00771A89" w:rsidRPr="00A54400">
        <w:rPr>
          <w:rFonts w:ascii="Arial" w:hAnsi="Arial" w:cs="Arial"/>
          <w:sz w:val="16"/>
          <w:szCs w:val="16"/>
        </w:rPr>
        <w:t xml:space="preserve"> </w:t>
      </w:r>
      <w:r w:rsidR="00A6150C">
        <w:rPr>
          <w:rFonts w:ascii="Arial" w:eastAsia="+mn-ea" w:hAnsi="Arial" w:cs="Arial"/>
          <w:color w:val="000000"/>
          <w:kern w:val="24"/>
          <w:sz w:val="16"/>
          <w:szCs w:val="16"/>
        </w:rPr>
        <w:t>sections</w:t>
      </w:r>
      <w:r w:rsidR="00771A89" w:rsidRPr="00A54400">
        <w:rPr>
          <w:rFonts w:ascii="Arial" w:eastAsia="+mn-ea" w:hAnsi="Arial" w:cs="Arial"/>
          <w:color w:val="000000"/>
          <w:kern w:val="24"/>
          <w:sz w:val="16"/>
          <w:szCs w:val="16"/>
        </w:rPr>
        <w:t xml:space="preserve"> </w:t>
      </w:r>
      <w:r w:rsidR="00771A89" w:rsidRPr="00A54400">
        <w:rPr>
          <w:rFonts w:ascii="Arial" w:hAnsi="Arial" w:cs="Arial"/>
          <w:sz w:val="16"/>
          <w:szCs w:val="16"/>
        </w:rPr>
        <w:t>21080.3</w:t>
      </w:r>
      <w:r w:rsidR="00771A89">
        <w:rPr>
          <w:rFonts w:ascii="Arial" w:hAnsi="Arial" w:cs="Arial"/>
          <w:sz w:val="16"/>
          <w:szCs w:val="16"/>
        </w:rPr>
        <w:t>,</w:t>
      </w:r>
      <w:r w:rsidR="00771A89" w:rsidRPr="00A54400">
        <w:rPr>
          <w:rFonts w:ascii="Arial" w:hAnsi="Arial" w:cs="Arial"/>
          <w:sz w:val="16"/>
          <w:szCs w:val="16"/>
        </w:rPr>
        <w:t xml:space="preserve"> 21081.6(c)</w:t>
      </w:r>
      <w:r w:rsidR="00771A89">
        <w:rPr>
          <w:rFonts w:ascii="Arial" w:hAnsi="Arial" w:cs="Arial"/>
          <w:sz w:val="16"/>
          <w:szCs w:val="16"/>
        </w:rPr>
        <w:t>, 21092.6 and 21104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F37"/>
    <w:multiLevelType w:val="hybridMultilevel"/>
    <w:tmpl w:val="274C1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748C"/>
    <w:multiLevelType w:val="hybridMultilevel"/>
    <w:tmpl w:val="323A2E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9E5FD3"/>
    <w:multiLevelType w:val="hybridMultilevel"/>
    <w:tmpl w:val="43B00782"/>
    <w:lvl w:ilvl="0" w:tplc="4E48A6EC">
      <w:start w:val="1"/>
      <w:numFmt w:val="bullet"/>
      <w:lvlText w:val=""/>
      <w:lvlJc w:val="left"/>
      <w:pPr>
        <w:ind w:left="360" w:hanging="360"/>
      </w:pPr>
      <w:rPr>
        <w:rFonts w:ascii="Wingdings" w:hAnsi="Wingdings" w:hint="default"/>
        <w:sz w:val="22"/>
        <w:szCs w:val="22"/>
      </w:rPr>
    </w:lvl>
    <w:lvl w:ilvl="1" w:tplc="C88418F0">
      <w:start w:val="2004"/>
      <w:numFmt w:val="bullet"/>
      <w:lvlText w:val="‒"/>
      <w:lvlJc w:val="left"/>
      <w:pPr>
        <w:ind w:left="1080" w:hanging="360"/>
      </w:pPr>
      <w:rPr>
        <w:rFonts w:ascii="Arial"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42AE2"/>
    <w:multiLevelType w:val="hybridMultilevel"/>
    <w:tmpl w:val="A5E4CE60"/>
    <w:lvl w:ilvl="0" w:tplc="E58845A8">
      <w:start w:val="1"/>
      <w:numFmt w:val="bullet"/>
      <w:lvlText w:val="▪"/>
      <w:lvlJc w:val="left"/>
      <w:pPr>
        <w:ind w:left="6056" w:hanging="360"/>
      </w:pPr>
      <w:rPr>
        <w:rFonts w:ascii="Microsoft Sans Serif" w:eastAsia="Microsoft Sans Serif" w:hAnsi="Microsoft Sans Serif" w:hint="default"/>
        <w:w w:val="129"/>
        <w:sz w:val="28"/>
        <w:szCs w:val="28"/>
      </w:rPr>
    </w:lvl>
    <w:lvl w:ilvl="1" w:tplc="04090003" w:tentative="1">
      <w:start w:val="1"/>
      <w:numFmt w:val="bullet"/>
      <w:lvlText w:val="o"/>
      <w:lvlJc w:val="left"/>
      <w:pPr>
        <w:ind w:left="6776" w:hanging="360"/>
      </w:pPr>
      <w:rPr>
        <w:rFonts w:ascii="Courier New" w:hAnsi="Courier New" w:cs="Courier New" w:hint="default"/>
      </w:rPr>
    </w:lvl>
    <w:lvl w:ilvl="2" w:tplc="04090005" w:tentative="1">
      <w:start w:val="1"/>
      <w:numFmt w:val="bullet"/>
      <w:lvlText w:val=""/>
      <w:lvlJc w:val="left"/>
      <w:pPr>
        <w:ind w:left="7496" w:hanging="360"/>
      </w:pPr>
      <w:rPr>
        <w:rFonts w:ascii="Wingdings" w:hAnsi="Wingdings" w:hint="default"/>
      </w:rPr>
    </w:lvl>
    <w:lvl w:ilvl="3" w:tplc="04090001" w:tentative="1">
      <w:start w:val="1"/>
      <w:numFmt w:val="bullet"/>
      <w:lvlText w:val=""/>
      <w:lvlJc w:val="left"/>
      <w:pPr>
        <w:ind w:left="8216" w:hanging="360"/>
      </w:pPr>
      <w:rPr>
        <w:rFonts w:ascii="Symbol" w:hAnsi="Symbol" w:hint="default"/>
      </w:rPr>
    </w:lvl>
    <w:lvl w:ilvl="4" w:tplc="04090003" w:tentative="1">
      <w:start w:val="1"/>
      <w:numFmt w:val="bullet"/>
      <w:lvlText w:val="o"/>
      <w:lvlJc w:val="left"/>
      <w:pPr>
        <w:ind w:left="8936" w:hanging="360"/>
      </w:pPr>
      <w:rPr>
        <w:rFonts w:ascii="Courier New" w:hAnsi="Courier New" w:cs="Courier New" w:hint="default"/>
      </w:rPr>
    </w:lvl>
    <w:lvl w:ilvl="5" w:tplc="04090005" w:tentative="1">
      <w:start w:val="1"/>
      <w:numFmt w:val="bullet"/>
      <w:lvlText w:val=""/>
      <w:lvlJc w:val="left"/>
      <w:pPr>
        <w:ind w:left="9656" w:hanging="360"/>
      </w:pPr>
      <w:rPr>
        <w:rFonts w:ascii="Wingdings" w:hAnsi="Wingdings" w:hint="default"/>
      </w:rPr>
    </w:lvl>
    <w:lvl w:ilvl="6" w:tplc="04090001" w:tentative="1">
      <w:start w:val="1"/>
      <w:numFmt w:val="bullet"/>
      <w:lvlText w:val=""/>
      <w:lvlJc w:val="left"/>
      <w:pPr>
        <w:ind w:left="10376" w:hanging="360"/>
      </w:pPr>
      <w:rPr>
        <w:rFonts w:ascii="Symbol" w:hAnsi="Symbol" w:hint="default"/>
      </w:rPr>
    </w:lvl>
    <w:lvl w:ilvl="7" w:tplc="04090003" w:tentative="1">
      <w:start w:val="1"/>
      <w:numFmt w:val="bullet"/>
      <w:lvlText w:val="o"/>
      <w:lvlJc w:val="left"/>
      <w:pPr>
        <w:ind w:left="11096" w:hanging="360"/>
      </w:pPr>
      <w:rPr>
        <w:rFonts w:ascii="Courier New" w:hAnsi="Courier New" w:cs="Courier New" w:hint="default"/>
      </w:rPr>
    </w:lvl>
    <w:lvl w:ilvl="8" w:tplc="04090005" w:tentative="1">
      <w:start w:val="1"/>
      <w:numFmt w:val="bullet"/>
      <w:lvlText w:val=""/>
      <w:lvlJc w:val="left"/>
      <w:pPr>
        <w:ind w:left="11816" w:hanging="360"/>
      </w:pPr>
      <w:rPr>
        <w:rFonts w:ascii="Wingdings" w:hAnsi="Wingdings" w:hint="default"/>
      </w:rPr>
    </w:lvl>
  </w:abstractNum>
  <w:abstractNum w:abstractNumId="4" w15:restartNumberingAfterBreak="0">
    <w:nsid w:val="1A973CD9"/>
    <w:multiLevelType w:val="hybridMultilevel"/>
    <w:tmpl w:val="467A47BA"/>
    <w:lvl w:ilvl="0" w:tplc="71DECF00">
      <w:start w:val="1"/>
      <w:numFmt w:val="bullet"/>
      <w:lvlText w:val=""/>
      <w:lvlJc w:val="left"/>
      <w:pPr>
        <w:tabs>
          <w:tab w:val="num" w:pos="720"/>
        </w:tabs>
        <w:ind w:left="720" w:hanging="360"/>
      </w:pPr>
      <w:rPr>
        <w:rFonts w:ascii="Wingdings" w:hAnsi="Wingdings" w:hint="default"/>
      </w:rPr>
    </w:lvl>
    <w:lvl w:ilvl="1" w:tplc="C88418F0">
      <w:start w:val="2004"/>
      <w:numFmt w:val="bullet"/>
      <w:lvlText w:val="‒"/>
      <w:lvlJc w:val="left"/>
      <w:pPr>
        <w:tabs>
          <w:tab w:val="num" w:pos="1440"/>
        </w:tabs>
        <w:ind w:left="1440" w:hanging="360"/>
      </w:pPr>
      <w:rPr>
        <w:rFonts w:ascii="Arial" w:hAnsi="Arial"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76BB3"/>
    <w:multiLevelType w:val="hybridMultilevel"/>
    <w:tmpl w:val="14FEB6C6"/>
    <w:lvl w:ilvl="0" w:tplc="4FD04D2E">
      <w:start w:val="1"/>
      <w:numFmt w:val="bullet"/>
      <w:lvlText w:val=""/>
      <w:lvlJc w:val="left"/>
      <w:pPr>
        <w:tabs>
          <w:tab w:val="num" w:pos="720"/>
        </w:tabs>
        <w:ind w:left="720" w:hanging="360"/>
      </w:pPr>
      <w:rPr>
        <w:rFonts w:ascii="Courier New" w:hAnsi="Courier New" w:hint="default"/>
      </w:rPr>
    </w:lvl>
    <w:lvl w:ilvl="1" w:tplc="5532D202">
      <w:start w:val="1"/>
      <w:numFmt w:val="bullet"/>
      <w:lvlText w:val=""/>
      <w:lvlJc w:val="left"/>
      <w:pPr>
        <w:tabs>
          <w:tab w:val="num" w:pos="1440"/>
        </w:tabs>
        <w:ind w:left="1440" w:hanging="360"/>
      </w:pPr>
      <w:rPr>
        <w:rFonts w:ascii="Courier New" w:hAnsi="Courier New" w:hint="default"/>
      </w:rPr>
    </w:lvl>
    <w:lvl w:ilvl="2" w:tplc="412C9B92" w:tentative="1">
      <w:start w:val="1"/>
      <w:numFmt w:val="bullet"/>
      <w:lvlText w:val=""/>
      <w:lvlJc w:val="left"/>
      <w:pPr>
        <w:tabs>
          <w:tab w:val="num" w:pos="2160"/>
        </w:tabs>
        <w:ind w:left="2160" w:hanging="360"/>
      </w:pPr>
      <w:rPr>
        <w:rFonts w:ascii="Courier New" w:hAnsi="Courier New" w:hint="default"/>
      </w:rPr>
    </w:lvl>
    <w:lvl w:ilvl="3" w:tplc="A940AB44" w:tentative="1">
      <w:start w:val="1"/>
      <w:numFmt w:val="bullet"/>
      <w:lvlText w:val=""/>
      <w:lvlJc w:val="left"/>
      <w:pPr>
        <w:tabs>
          <w:tab w:val="num" w:pos="2880"/>
        </w:tabs>
        <w:ind w:left="2880" w:hanging="360"/>
      </w:pPr>
      <w:rPr>
        <w:rFonts w:ascii="Courier New" w:hAnsi="Courier New" w:hint="default"/>
      </w:rPr>
    </w:lvl>
    <w:lvl w:ilvl="4" w:tplc="E33E46C0" w:tentative="1">
      <w:start w:val="1"/>
      <w:numFmt w:val="bullet"/>
      <w:lvlText w:val=""/>
      <w:lvlJc w:val="left"/>
      <w:pPr>
        <w:tabs>
          <w:tab w:val="num" w:pos="3600"/>
        </w:tabs>
        <w:ind w:left="3600" w:hanging="360"/>
      </w:pPr>
      <w:rPr>
        <w:rFonts w:ascii="Courier New" w:hAnsi="Courier New" w:hint="default"/>
      </w:rPr>
    </w:lvl>
    <w:lvl w:ilvl="5" w:tplc="812A94AE" w:tentative="1">
      <w:start w:val="1"/>
      <w:numFmt w:val="bullet"/>
      <w:lvlText w:val=""/>
      <w:lvlJc w:val="left"/>
      <w:pPr>
        <w:tabs>
          <w:tab w:val="num" w:pos="4320"/>
        </w:tabs>
        <w:ind w:left="4320" w:hanging="360"/>
      </w:pPr>
      <w:rPr>
        <w:rFonts w:ascii="Courier New" w:hAnsi="Courier New" w:hint="default"/>
      </w:rPr>
    </w:lvl>
    <w:lvl w:ilvl="6" w:tplc="5BA06F9C" w:tentative="1">
      <w:start w:val="1"/>
      <w:numFmt w:val="bullet"/>
      <w:lvlText w:val=""/>
      <w:lvlJc w:val="left"/>
      <w:pPr>
        <w:tabs>
          <w:tab w:val="num" w:pos="5040"/>
        </w:tabs>
        <w:ind w:left="5040" w:hanging="360"/>
      </w:pPr>
      <w:rPr>
        <w:rFonts w:ascii="Courier New" w:hAnsi="Courier New" w:hint="default"/>
      </w:rPr>
    </w:lvl>
    <w:lvl w:ilvl="7" w:tplc="2E9EB45C" w:tentative="1">
      <w:start w:val="1"/>
      <w:numFmt w:val="bullet"/>
      <w:lvlText w:val=""/>
      <w:lvlJc w:val="left"/>
      <w:pPr>
        <w:tabs>
          <w:tab w:val="num" w:pos="5760"/>
        </w:tabs>
        <w:ind w:left="5760" w:hanging="360"/>
      </w:pPr>
      <w:rPr>
        <w:rFonts w:ascii="Courier New" w:hAnsi="Courier New" w:hint="default"/>
      </w:rPr>
    </w:lvl>
    <w:lvl w:ilvl="8" w:tplc="B324ECF6" w:tentative="1">
      <w:start w:val="1"/>
      <w:numFmt w:val="bullet"/>
      <w:lvlText w:val=""/>
      <w:lvlJc w:val="left"/>
      <w:pPr>
        <w:tabs>
          <w:tab w:val="num" w:pos="6480"/>
        </w:tabs>
        <w:ind w:left="6480" w:hanging="360"/>
      </w:pPr>
      <w:rPr>
        <w:rFonts w:ascii="Courier New" w:hAnsi="Courier New" w:hint="default"/>
      </w:rPr>
    </w:lvl>
  </w:abstractNum>
  <w:abstractNum w:abstractNumId="6" w15:restartNumberingAfterBreak="0">
    <w:nsid w:val="23A0738B"/>
    <w:multiLevelType w:val="hybridMultilevel"/>
    <w:tmpl w:val="EDC0628C"/>
    <w:lvl w:ilvl="0" w:tplc="C88418F0">
      <w:start w:val="2004"/>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322720"/>
    <w:multiLevelType w:val="hybridMultilevel"/>
    <w:tmpl w:val="A85665DA"/>
    <w:lvl w:ilvl="0" w:tplc="71DECF00">
      <w:start w:val="1"/>
      <w:numFmt w:val="bullet"/>
      <w:lvlText w:val=""/>
      <w:lvlJc w:val="left"/>
      <w:pPr>
        <w:tabs>
          <w:tab w:val="num" w:pos="720"/>
        </w:tabs>
        <w:ind w:left="720" w:hanging="360"/>
      </w:pPr>
      <w:rPr>
        <w:rFonts w:ascii="Wingdings" w:hAnsi="Wingdings" w:hint="default"/>
      </w:rPr>
    </w:lvl>
    <w:lvl w:ilvl="1" w:tplc="AC8AD4B8">
      <w:numFmt w:val="bullet"/>
      <w:lvlText w:val=""/>
      <w:lvlJc w:val="left"/>
      <w:pPr>
        <w:tabs>
          <w:tab w:val="num" w:pos="1440"/>
        </w:tabs>
        <w:ind w:left="1440" w:hanging="360"/>
      </w:pPr>
      <w:rPr>
        <w:rFonts w:ascii="Courier New" w:hAnsi="Courier New"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A7EE9"/>
    <w:multiLevelType w:val="hybridMultilevel"/>
    <w:tmpl w:val="0428BC9A"/>
    <w:lvl w:ilvl="0" w:tplc="F48AEF44">
      <w:start w:val="1"/>
      <w:numFmt w:val="bullet"/>
      <w:lvlText w:val=""/>
      <w:lvlJc w:val="left"/>
      <w:pPr>
        <w:tabs>
          <w:tab w:val="num" w:pos="720"/>
        </w:tabs>
        <w:ind w:left="720" w:hanging="360"/>
      </w:pPr>
      <w:rPr>
        <w:rFonts w:ascii="Wingdings" w:hAnsi="Wingdings" w:hint="default"/>
      </w:rPr>
    </w:lvl>
    <w:lvl w:ilvl="1" w:tplc="B448C87A" w:tentative="1">
      <w:start w:val="1"/>
      <w:numFmt w:val="bullet"/>
      <w:lvlText w:val=""/>
      <w:lvlJc w:val="left"/>
      <w:pPr>
        <w:tabs>
          <w:tab w:val="num" w:pos="1440"/>
        </w:tabs>
        <w:ind w:left="1440" w:hanging="360"/>
      </w:pPr>
      <w:rPr>
        <w:rFonts w:ascii="Wingdings" w:hAnsi="Wingdings" w:hint="default"/>
      </w:rPr>
    </w:lvl>
    <w:lvl w:ilvl="2" w:tplc="6DC69CC4" w:tentative="1">
      <w:start w:val="1"/>
      <w:numFmt w:val="bullet"/>
      <w:lvlText w:val=""/>
      <w:lvlJc w:val="left"/>
      <w:pPr>
        <w:tabs>
          <w:tab w:val="num" w:pos="2160"/>
        </w:tabs>
        <w:ind w:left="2160" w:hanging="360"/>
      </w:pPr>
      <w:rPr>
        <w:rFonts w:ascii="Wingdings" w:hAnsi="Wingdings" w:hint="default"/>
      </w:rPr>
    </w:lvl>
    <w:lvl w:ilvl="3" w:tplc="B1966FD6" w:tentative="1">
      <w:start w:val="1"/>
      <w:numFmt w:val="bullet"/>
      <w:lvlText w:val=""/>
      <w:lvlJc w:val="left"/>
      <w:pPr>
        <w:tabs>
          <w:tab w:val="num" w:pos="2880"/>
        </w:tabs>
        <w:ind w:left="2880" w:hanging="360"/>
      </w:pPr>
      <w:rPr>
        <w:rFonts w:ascii="Wingdings" w:hAnsi="Wingdings" w:hint="default"/>
      </w:rPr>
    </w:lvl>
    <w:lvl w:ilvl="4" w:tplc="E0E44B98" w:tentative="1">
      <w:start w:val="1"/>
      <w:numFmt w:val="bullet"/>
      <w:lvlText w:val=""/>
      <w:lvlJc w:val="left"/>
      <w:pPr>
        <w:tabs>
          <w:tab w:val="num" w:pos="3600"/>
        </w:tabs>
        <w:ind w:left="3600" w:hanging="360"/>
      </w:pPr>
      <w:rPr>
        <w:rFonts w:ascii="Wingdings" w:hAnsi="Wingdings" w:hint="default"/>
      </w:rPr>
    </w:lvl>
    <w:lvl w:ilvl="5" w:tplc="7D1AE1BE" w:tentative="1">
      <w:start w:val="1"/>
      <w:numFmt w:val="bullet"/>
      <w:lvlText w:val=""/>
      <w:lvlJc w:val="left"/>
      <w:pPr>
        <w:tabs>
          <w:tab w:val="num" w:pos="4320"/>
        </w:tabs>
        <w:ind w:left="4320" w:hanging="360"/>
      </w:pPr>
      <w:rPr>
        <w:rFonts w:ascii="Wingdings" w:hAnsi="Wingdings" w:hint="default"/>
      </w:rPr>
    </w:lvl>
    <w:lvl w:ilvl="6" w:tplc="F7369F24" w:tentative="1">
      <w:start w:val="1"/>
      <w:numFmt w:val="bullet"/>
      <w:lvlText w:val=""/>
      <w:lvlJc w:val="left"/>
      <w:pPr>
        <w:tabs>
          <w:tab w:val="num" w:pos="5040"/>
        </w:tabs>
        <w:ind w:left="5040" w:hanging="360"/>
      </w:pPr>
      <w:rPr>
        <w:rFonts w:ascii="Wingdings" w:hAnsi="Wingdings" w:hint="default"/>
      </w:rPr>
    </w:lvl>
    <w:lvl w:ilvl="7" w:tplc="C4907130" w:tentative="1">
      <w:start w:val="1"/>
      <w:numFmt w:val="bullet"/>
      <w:lvlText w:val=""/>
      <w:lvlJc w:val="left"/>
      <w:pPr>
        <w:tabs>
          <w:tab w:val="num" w:pos="5760"/>
        </w:tabs>
        <w:ind w:left="5760" w:hanging="360"/>
      </w:pPr>
      <w:rPr>
        <w:rFonts w:ascii="Wingdings" w:hAnsi="Wingdings" w:hint="default"/>
      </w:rPr>
    </w:lvl>
    <w:lvl w:ilvl="8" w:tplc="B6B00C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E7C0E"/>
    <w:multiLevelType w:val="hybridMultilevel"/>
    <w:tmpl w:val="DEC60AFE"/>
    <w:lvl w:ilvl="0" w:tplc="4E48A6EC">
      <w:start w:val="1"/>
      <w:numFmt w:val="bullet"/>
      <w:lvlText w:val=""/>
      <w:lvlJc w:val="left"/>
      <w:pPr>
        <w:ind w:left="360" w:hanging="360"/>
      </w:pPr>
      <w:rPr>
        <w:rFonts w:ascii="Wingdings" w:hAnsi="Wingdings" w:hint="default"/>
        <w:sz w:val="22"/>
        <w:szCs w:val="22"/>
      </w:rPr>
    </w:lvl>
    <w:lvl w:ilvl="1" w:tplc="C88418F0">
      <w:start w:val="2004"/>
      <w:numFmt w:val="bullet"/>
      <w:lvlText w:val="‒"/>
      <w:lvlJc w:val="left"/>
      <w:pPr>
        <w:ind w:left="1080" w:hanging="360"/>
      </w:pPr>
      <w:rPr>
        <w:rFonts w:ascii="Arial" w:hAnsi="Arial"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3E915F5"/>
    <w:multiLevelType w:val="hybridMultilevel"/>
    <w:tmpl w:val="14764BDC"/>
    <w:lvl w:ilvl="0" w:tplc="71DECF00">
      <w:start w:val="1"/>
      <w:numFmt w:val="bullet"/>
      <w:lvlText w:val=""/>
      <w:lvlJc w:val="left"/>
      <w:pPr>
        <w:tabs>
          <w:tab w:val="num" w:pos="720"/>
        </w:tabs>
        <w:ind w:left="720" w:hanging="360"/>
      </w:pPr>
      <w:rPr>
        <w:rFonts w:ascii="Wingdings" w:hAnsi="Wingdings" w:hint="default"/>
      </w:rPr>
    </w:lvl>
    <w:lvl w:ilvl="1" w:tplc="C88418F0">
      <w:start w:val="2004"/>
      <w:numFmt w:val="bullet"/>
      <w:lvlText w:val="‒"/>
      <w:lvlJc w:val="left"/>
      <w:pPr>
        <w:tabs>
          <w:tab w:val="num" w:pos="1440"/>
        </w:tabs>
        <w:ind w:left="1440" w:hanging="360"/>
      </w:pPr>
      <w:rPr>
        <w:rFonts w:ascii="Arial" w:hAnsi="Arial" w:hint="default"/>
      </w:rPr>
    </w:lvl>
    <w:lvl w:ilvl="2" w:tplc="32A8D8AA" w:tentative="1">
      <w:start w:val="1"/>
      <w:numFmt w:val="bullet"/>
      <w:lvlText w:val=""/>
      <w:lvlJc w:val="left"/>
      <w:pPr>
        <w:tabs>
          <w:tab w:val="num" w:pos="2160"/>
        </w:tabs>
        <w:ind w:left="2160" w:hanging="360"/>
      </w:pPr>
      <w:rPr>
        <w:rFonts w:ascii="Wingdings" w:hAnsi="Wingdings" w:hint="default"/>
      </w:rPr>
    </w:lvl>
    <w:lvl w:ilvl="3" w:tplc="78D86F2E" w:tentative="1">
      <w:start w:val="1"/>
      <w:numFmt w:val="bullet"/>
      <w:lvlText w:val=""/>
      <w:lvlJc w:val="left"/>
      <w:pPr>
        <w:tabs>
          <w:tab w:val="num" w:pos="2880"/>
        </w:tabs>
        <w:ind w:left="2880" w:hanging="360"/>
      </w:pPr>
      <w:rPr>
        <w:rFonts w:ascii="Wingdings" w:hAnsi="Wingdings" w:hint="default"/>
      </w:rPr>
    </w:lvl>
    <w:lvl w:ilvl="4" w:tplc="C016AF7C" w:tentative="1">
      <w:start w:val="1"/>
      <w:numFmt w:val="bullet"/>
      <w:lvlText w:val=""/>
      <w:lvlJc w:val="left"/>
      <w:pPr>
        <w:tabs>
          <w:tab w:val="num" w:pos="3600"/>
        </w:tabs>
        <w:ind w:left="3600" w:hanging="360"/>
      </w:pPr>
      <w:rPr>
        <w:rFonts w:ascii="Wingdings" w:hAnsi="Wingdings" w:hint="default"/>
      </w:rPr>
    </w:lvl>
    <w:lvl w:ilvl="5" w:tplc="9D148FBE" w:tentative="1">
      <w:start w:val="1"/>
      <w:numFmt w:val="bullet"/>
      <w:lvlText w:val=""/>
      <w:lvlJc w:val="left"/>
      <w:pPr>
        <w:tabs>
          <w:tab w:val="num" w:pos="4320"/>
        </w:tabs>
        <w:ind w:left="4320" w:hanging="360"/>
      </w:pPr>
      <w:rPr>
        <w:rFonts w:ascii="Wingdings" w:hAnsi="Wingdings" w:hint="default"/>
      </w:rPr>
    </w:lvl>
    <w:lvl w:ilvl="6" w:tplc="DCCE66A0" w:tentative="1">
      <w:start w:val="1"/>
      <w:numFmt w:val="bullet"/>
      <w:lvlText w:val=""/>
      <w:lvlJc w:val="left"/>
      <w:pPr>
        <w:tabs>
          <w:tab w:val="num" w:pos="5040"/>
        </w:tabs>
        <w:ind w:left="5040" w:hanging="360"/>
      </w:pPr>
      <w:rPr>
        <w:rFonts w:ascii="Wingdings" w:hAnsi="Wingdings" w:hint="default"/>
      </w:rPr>
    </w:lvl>
    <w:lvl w:ilvl="7" w:tplc="8AE622C2" w:tentative="1">
      <w:start w:val="1"/>
      <w:numFmt w:val="bullet"/>
      <w:lvlText w:val=""/>
      <w:lvlJc w:val="left"/>
      <w:pPr>
        <w:tabs>
          <w:tab w:val="num" w:pos="5760"/>
        </w:tabs>
        <w:ind w:left="5760" w:hanging="360"/>
      </w:pPr>
      <w:rPr>
        <w:rFonts w:ascii="Wingdings" w:hAnsi="Wingdings" w:hint="default"/>
      </w:rPr>
    </w:lvl>
    <w:lvl w:ilvl="8" w:tplc="F51247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5337E"/>
    <w:multiLevelType w:val="hybridMultilevel"/>
    <w:tmpl w:val="4F0272D0"/>
    <w:lvl w:ilvl="0" w:tplc="4E48A6EC">
      <w:start w:val="1"/>
      <w:numFmt w:val="bullet"/>
      <w:lvlText w:val=""/>
      <w:lvlJc w:val="left"/>
      <w:pPr>
        <w:ind w:left="360" w:hanging="360"/>
      </w:pPr>
      <w:rPr>
        <w:rFonts w:ascii="Wingdings" w:hAnsi="Wingdings" w:hint="default"/>
        <w:sz w:val="22"/>
        <w:szCs w:val="22"/>
      </w:rPr>
    </w:lvl>
    <w:lvl w:ilvl="1" w:tplc="C88418F0">
      <w:start w:val="2004"/>
      <w:numFmt w:val="bullet"/>
      <w:lvlText w:val="‒"/>
      <w:lvlJc w:val="left"/>
      <w:pPr>
        <w:ind w:left="1080" w:hanging="360"/>
      </w:pPr>
      <w:rPr>
        <w:rFonts w:ascii="Arial" w:hAnsi="Arial"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9CD713F"/>
    <w:multiLevelType w:val="hybridMultilevel"/>
    <w:tmpl w:val="9D6A8866"/>
    <w:lvl w:ilvl="0" w:tplc="4E48A6EC">
      <w:start w:val="1"/>
      <w:numFmt w:val="bullet"/>
      <w:lvlText w:val=""/>
      <w:lvlJc w:val="left"/>
      <w:pPr>
        <w:ind w:left="360" w:hanging="360"/>
      </w:pPr>
      <w:rPr>
        <w:rFonts w:ascii="Wingdings" w:hAnsi="Wingdings" w:hint="default"/>
        <w:sz w:val="22"/>
        <w:szCs w:val="22"/>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A78334A"/>
    <w:multiLevelType w:val="hybridMultilevel"/>
    <w:tmpl w:val="C176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071A"/>
    <w:multiLevelType w:val="hybridMultilevel"/>
    <w:tmpl w:val="361428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44AFF"/>
    <w:multiLevelType w:val="hybridMultilevel"/>
    <w:tmpl w:val="A6128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677F8"/>
    <w:multiLevelType w:val="hybridMultilevel"/>
    <w:tmpl w:val="8C229504"/>
    <w:lvl w:ilvl="0" w:tplc="2BF834E8">
      <w:start w:val="1"/>
      <w:numFmt w:val="bullet"/>
      <w:lvlText w:val=""/>
      <w:lvlJc w:val="left"/>
      <w:pPr>
        <w:tabs>
          <w:tab w:val="num" w:pos="360"/>
        </w:tabs>
        <w:ind w:left="360" w:hanging="360"/>
      </w:pPr>
      <w:rPr>
        <w:rFonts w:ascii="Wingdings" w:hAnsi="Wingdings" w:hint="default"/>
      </w:rPr>
    </w:lvl>
    <w:lvl w:ilvl="1" w:tplc="1E74B43A">
      <w:start w:val="171"/>
      <w:numFmt w:val="bullet"/>
      <w:lvlText w:val="o"/>
      <w:lvlJc w:val="left"/>
      <w:pPr>
        <w:tabs>
          <w:tab w:val="num" w:pos="1080"/>
        </w:tabs>
        <w:ind w:left="1080" w:hanging="360"/>
      </w:pPr>
      <w:rPr>
        <w:rFonts w:ascii="Courier New" w:hAnsi="Courier New" w:hint="default"/>
      </w:rPr>
    </w:lvl>
    <w:lvl w:ilvl="2" w:tplc="8F203E1C" w:tentative="1">
      <w:start w:val="1"/>
      <w:numFmt w:val="bullet"/>
      <w:lvlText w:val=""/>
      <w:lvlJc w:val="left"/>
      <w:pPr>
        <w:tabs>
          <w:tab w:val="num" w:pos="1800"/>
        </w:tabs>
        <w:ind w:left="1800" w:hanging="360"/>
      </w:pPr>
      <w:rPr>
        <w:rFonts w:ascii="Wingdings" w:hAnsi="Wingdings" w:hint="default"/>
      </w:rPr>
    </w:lvl>
    <w:lvl w:ilvl="3" w:tplc="0B68127E" w:tentative="1">
      <w:start w:val="1"/>
      <w:numFmt w:val="bullet"/>
      <w:lvlText w:val=""/>
      <w:lvlJc w:val="left"/>
      <w:pPr>
        <w:tabs>
          <w:tab w:val="num" w:pos="2520"/>
        </w:tabs>
        <w:ind w:left="2520" w:hanging="360"/>
      </w:pPr>
      <w:rPr>
        <w:rFonts w:ascii="Wingdings" w:hAnsi="Wingdings" w:hint="default"/>
      </w:rPr>
    </w:lvl>
    <w:lvl w:ilvl="4" w:tplc="D3002C7A" w:tentative="1">
      <w:start w:val="1"/>
      <w:numFmt w:val="bullet"/>
      <w:lvlText w:val=""/>
      <w:lvlJc w:val="left"/>
      <w:pPr>
        <w:tabs>
          <w:tab w:val="num" w:pos="3240"/>
        </w:tabs>
        <w:ind w:left="3240" w:hanging="360"/>
      </w:pPr>
      <w:rPr>
        <w:rFonts w:ascii="Wingdings" w:hAnsi="Wingdings" w:hint="default"/>
      </w:rPr>
    </w:lvl>
    <w:lvl w:ilvl="5" w:tplc="989E9406" w:tentative="1">
      <w:start w:val="1"/>
      <w:numFmt w:val="bullet"/>
      <w:lvlText w:val=""/>
      <w:lvlJc w:val="left"/>
      <w:pPr>
        <w:tabs>
          <w:tab w:val="num" w:pos="3960"/>
        </w:tabs>
        <w:ind w:left="3960" w:hanging="360"/>
      </w:pPr>
      <w:rPr>
        <w:rFonts w:ascii="Wingdings" w:hAnsi="Wingdings" w:hint="default"/>
      </w:rPr>
    </w:lvl>
    <w:lvl w:ilvl="6" w:tplc="445E47B8" w:tentative="1">
      <w:start w:val="1"/>
      <w:numFmt w:val="bullet"/>
      <w:lvlText w:val=""/>
      <w:lvlJc w:val="left"/>
      <w:pPr>
        <w:tabs>
          <w:tab w:val="num" w:pos="4680"/>
        </w:tabs>
        <w:ind w:left="4680" w:hanging="360"/>
      </w:pPr>
      <w:rPr>
        <w:rFonts w:ascii="Wingdings" w:hAnsi="Wingdings" w:hint="default"/>
      </w:rPr>
    </w:lvl>
    <w:lvl w:ilvl="7" w:tplc="B2F25E58" w:tentative="1">
      <w:start w:val="1"/>
      <w:numFmt w:val="bullet"/>
      <w:lvlText w:val=""/>
      <w:lvlJc w:val="left"/>
      <w:pPr>
        <w:tabs>
          <w:tab w:val="num" w:pos="5400"/>
        </w:tabs>
        <w:ind w:left="5400" w:hanging="360"/>
      </w:pPr>
      <w:rPr>
        <w:rFonts w:ascii="Wingdings" w:hAnsi="Wingdings" w:hint="default"/>
      </w:rPr>
    </w:lvl>
    <w:lvl w:ilvl="8" w:tplc="ACC48BC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9C113E"/>
    <w:multiLevelType w:val="hybridMultilevel"/>
    <w:tmpl w:val="6EB24556"/>
    <w:lvl w:ilvl="0" w:tplc="829CFE70">
      <w:start w:val="1"/>
      <w:numFmt w:val="bullet"/>
      <w:lvlText w:val=""/>
      <w:lvlJc w:val="left"/>
      <w:pPr>
        <w:tabs>
          <w:tab w:val="num" w:pos="720"/>
        </w:tabs>
        <w:ind w:left="720" w:hanging="360"/>
      </w:pPr>
      <w:rPr>
        <w:rFonts w:ascii="Wingdings" w:hAnsi="Wingdings" w:hint="default"/>
      </w:rPr>
    </w:lvl>
    <w:lvl w:ilvl="1" w:tplc="BAF60FDC" w:tentative="1">
      <w:start w:val="1"/>
      <w:numFmt w:val="bullet"/>
      <w:lvlText w:val=""/>
      <w:lvlJc w:val="left"/>
      <w:pPr>
        <w:tabs>
          <w:tab w:val="num" w:pos="1440"/>
        </w:tabs>
        <w:ind w:left="1440" w:hanging="360"/>
      </w:pPr>
      <w:rPr>
        <w:rFonts w:ascii="Wingdings" w:hAnsi="Wingdings" w:hint="default"/>
      </w:rPr>
    </w:lvl>
    <w:lvl w:ilvl="2" w:tplc="DF8455A8" w:tentative="1">
      <w:start w:val="1"/>
      <w:numFmt w:val="bullet"/>
      <w:lvlText w:val=""/>
      <w:lvlJc w:val="left"/>
      <w:pPr>
        <w:tabs>
          <w:tab w:val="num" w:pos="2160"/>
        </w:tabs>
        <w:ind w:left="2160" w:hanging="360"/>
      </w:pPr>
      <w:rPr>
        <w:rFonts w:ascii="Wingdings" w:hAnsi="Wingdings" w:hint="default"/>
      </w:rPr>
    </w:lvl>
    <w:lvl w:ilvl="3" w:tplc="72048864" w:tentative="1">
      <w:start w:val="1"/>
      <w:numFmt w:val="bullet"/>
      <w:lvlText w:val=""/>
      <w:lvlJc w:val="left"/>
      <w:pPr>
        <w:tabs>
          <w:tab w:val="num" w:pos="2880"/>
        </w:tabs>
        <w:ind w:left="2880" w:hanging="360"/>
      </w:pPr>
      <w:rPr>
        <w:rFonts w:ascii="Wingdings" w:hAnsi="Wingdings" w:hint="default"/>
      </w:rPr>
    </w:lvl>
    <w:lvl w:ilvl="4" w:tplc="D93ECCFE" w:tentative="1">
      <w:start w:val="1"/>
      <w:numFmt w:val="bullet"/>
      <w:lvlText w:val=""/>
      <w:lvlJc w:val="left"/>
      <w:pPr>
        <w:tabs>
          <w:tab w:val="num" w:pos="3600"/>
        </w:tabs>
        <w:ind w:left="3600" w:hanging="360"/>
      </w:pPr>
      <w:rPr>
        <w:rFonts w:ascii="Wingdings" w:hAnsi="Wingdings" w:hint="default"/>
      </w:rPr>
    </w:lvl>
    <w:lvl w:ilvl="5" w:tplc="CFB4EC50" w:tentative="1">
      <w:start w:val="1"/>
      <w:numFmt w:val="bullet"/>
      <w:lvlText w:val=""/>
      <w:lvlJc w:val="left"/>
      <w:pPr>
        <w:tabs>
          <w:tab w:val="num" w:pos="4320"/>
        </w:tabs>
        <w:ind w:left="4320" w:hanging="360"/>
      </w:pPr>
      <w:rPr>
        <w:rFonts w:ascii="Wingdings" w:hAnsi="Wingdings" w:hint="default"/>
      </w:rPr>
    </w:lvl>
    <w:lvl w:ilvl="6" w:tplc="36D266AA" w:tentative="1">
      <w:start w:val="1"/>
      <w:numFmt w:val="bullet"/>
      <w:lvlText w:val=""/>
      <w:lvlJc w:val="left"/>
      <w:pPr>
        <w:tabs>
          <w:tab w:val="num" w:pos="5040"/>
        </w:tabs>
        <w:ind w:left="5040" w:hanging="360"/>
      </w:pPr>
      <w:rPr>
        <w:rFonts w:ascii="Wingdings" w:hAnsi="Wingdings" w:hint="default"/>
      </w:rPr>
    </w:lvl>
    <w:lvl w:ilvl="7" w:tplc="063465B4" w:tentative="1">
      <w:start w:val="1"/>
      <w:numFmt w:val="bullet"/>
      <w:lvlText w:val=""/>
      <w:lvlJc w:val="left"/>
      <w:pPr>
        <w:tabs>
          <w:tab w:val="num" w:pos="5760"/>
        </w:tabs>
        <w:ind w:left="5760" w:hanging="360"/>
      </w:pPr>
      <w:rPr>
        <w:rFonts w:ascii="Wingdings" w:hAnsi="Wingdings" w:hint="default"/>
      </w:rPr>
    </w:lvl>
    <w:lvl w:ilvl="8" w:tplc="09F434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D7065"/>
    <w:multiLevelType w:val="hybridMultilevel"/>
    <w:tmpl w:val="3224E0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17"/>
  </w:num>
  <w:num w:numId="6">
    <w:abstractNumId w:val="2"/>
  </w:num>
  <w:num w:numId="7">
    <w:abstractNumId w:val="13"/>
  </w:num>
  <w:num w:numId="8">
    <w:abstractNumId w:val="14"/>
  </w:num>
  <w:num w:numId="9">
    <w:abstractNumId w:val="15"/>
  </w:num>
  <w:num w:numId="10">
    <w:abstractNumId w:val="18"/>
  </w:num>
  <w:num w:numId="11">
    <w:abstractNumId w:val="12"/>
  </w:num>
  <w:num w:numId="12">
    <w:abstractNumId w:val="1"/>
  </w:num>
  <w:num w:numId="13">
    <w:abstractNumId w:val="6"/>
  </w:num>
  <w:num w:numId="14">
    <w:abstractNumId w:val="1"/>
  </w:num>
  <w:num w:numId="15">
    <w:abstractNumId w:val="0"/>
  </w:num>
  <w:num w:numId="16">
    <w:abstractNumId w:val="11"/>
  </w:num>
  <w:num w:numId="17">
    <w:abstractNumId w:val="9"/>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vECb/DbO6Du+1s2dUL1iSb9cG4zTCJ53tiVeuqzC50zU5940n52TvHRnj1OYri2QnEXV1Z3mceIBcvj4s0HA==" w:salt="JSryVECdx36gP6q+LNfz1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C6"/>
    <w:rsid w:val="00005037"/>
    <w:rsid w:val="000060F7"/>
    <w:rsid w:val="00010B95"/>
    <w:rsid w:val="00012807"/>
    <w:rsid w:val="00046007"/>
    <w:rsid w:val="00053593"/>
    <w:rsid w:val="000621D0"/>
    <w:rsid w:val="000715DF"/>
    <w:rsid w:val="0007733D"/>
    <w:rsid w:val="0008326C"/>
    <w:rsid w:val="00087084"/>
    <w:rsid w:val="00092D37"/>
    <w:rsid w:val="000C2554"/>
    <w:rsid w:val="000D143D"/>
    <w:rsid w:val="000D3DD5"/>
    <w:rsid w:val="000D4413"/>
    <w:rsid w:val="000F076E"/>
    <w:rsid w:val="000F32B9"/>
    <w:rsid w:val="00102A3D"/>
    <w:rsid w:val="0010795C"/>
    <w:rsid w:val="001268C6"/>
    <w:rsid w:val="00163E16"/>
    <w:rsid w:val="001930FE"/>
    <w:rsid w:val="001B4067"/>
    <w:rsid w:val="001D60EB"/>
    <w:rsid w:val="001D665A"/>
    <w:rsid w:val="001F4BD8"/>
    <w:rsid w:val="00203E10"/>
    <w:rsid w:val="00205E09"/>
    <w:rsid w:val="0021058D"/>
    <w:rsid w:val="00213BFD"/>
    <w:rsid w:val="002147DC"/>
    <w:rsid w:val="002258CF"/>
    <w:rsid w:val="00274B71"/>
    <w:rsid w:val="00282A8D"/>
    <w:rsid w:val="00295A35"/>
    <w:rsid w:val="002A1DBF"/>
    <w:rsid w:val="002A2663"/>
    <w:rsid w:val="002A7164"/>
    <w:rsid w:val="002A7CEC"/>
    <w:rsid w:val="002C504F"/>
    <w:rsid w:val="002E3BF6"/>
    <w:rsid w:val="002F0BC2"/>
    <w:rsid w:val="002F4576"/>
    <w:rsid w:val="003067F6"/>
    <w:rsid w:val="00315151"/>
    <w:rsid w:val="00321005"/>
    <w:rsid w:val="0032487A"/>
    <w:rsid w:val="00326072"/>
    <w:rsid w:val="00331365"/>
    <w:rsid w:val="003316BF"/>
    <w:rsid w:val="00347535"/>
    <w:rsid w:val="003579DD"/>
    <w:rsid w:val="00361095"/>
    <w:rsid w:val="003672BD"/>
    <w:rsid w:val="00367D49"/>
    <w:rsid w:val="00374159"/>
    <w:rsid w:val="003847D0"/>
    <w:rsid w:val="003A64A8"/>
    <w:rsid w:val="003B132F"/>
    <w:rsid w:val="003B142E"/>
    <w:rsid w:val="003C1F94"/>
    <w:rsid w:val="003D1C3B"/>
    <w:rsid w:val="003D45D3"/>
    <w:rsid w:val="003E46A6"/>
    <w:rsid w:val="003F3845"/>
    <w:rsid w:val="00411C7D"/>
    <w:rsid w:val="00420D31"/>
    <w:rsid w:val="004313D0"/>
    <w:rsid w:val="0043142F"/>
    <w:rsid w:val="0043192D"/>
    <w:rsid w:val="004323B4"/>
    <w:rsid w:val="00432948"/>
    <w:rsid w:val="00450BE9"/>
    <w:rsid w:val="0045387B"/>
    <w:rsid w:val="00485928"/>
    <w:rsid w:val="004A05ED"/>
    <w:rsid w:val="004A38CE"/>
    <w:rsid w:val="004B53EB"/>
    <w:rsid w:val="004B75B9"/>
    <w:rsid w:val="004C1562"/>
    <w:rsid w:val="004F23FC"/>
    <w:rsid w:val="00506571"/>
    <w:rsid w:val="00510E36"/>
    <w:rsid w:val="00527682"/>
    <w:rsid w:val="0054456C"/>
    <w:rsid w:val="00551EEB"/>
    <w:rsid w:val="00553372"/>
    <w:rsid w:val="005871CF"/>
    <w:rsid w:val="005A244A"/>
    <w:rsid w:val="005A37E6"/>
    <w:rsid w:val="005B54EA"/>
    <w:rsid w:val="005B6391"/>
    <w:rsid w:val="005D0420"/>
    <w:rsid w:val="005D1BA0"/>
    <w:rsid w:val="005D28A7"/>
    <w:rsid w:val="005F21BF"/>
    <w:rsid w:val="005F7C12"/>
    <w:rsid w:val="00612885"/>
    <w:rsid w:val="00632596"/>
    <w:rsid w:val="00657B1B"/>
    <w:rsid w:val="00674A85"/>
    <w:rsid w:val="00681411"/>
    <w:rsid w:val="00686BD3"/>
    <w:rsid w:val="00687F0E"/>
    <w:rsid w:val="0069501A"/>
    <w:rsid w:val="006C16C4"/>
    <w:rsid w:val="006C761F"/>
    <w:rsid w:val="006D0BA9"/>
    <w:rsid w:val="006D14B4"/>
    <w:rsid w:val="006F599B"/>
    <w:rsid w:val="007002F9"/>
    <w:rsid w:val="0070267C"/>
    <w:rsid w:val="007062B7"/>
    <w:rsid w:val="00713D65"/>
    <w:rsid w:val="00735722"/>
    <w:rsid w:val="007407DD"/>
    <w:rsid w:val="0074492F"/>
    <w:rsid w:val="00747E75"/>
    <w:rsid w:val="00762A9F"/>
    <w:rsid w:val="00766322"/>
    <w:rsid w:val="00771A89"/>
    <w:rsid w:val="007C1921"/>
    <w:rsid w:val="007C1CC3"/>
    <w:rsid w:val="007D42D8"/>
    <w:rsid w:val="007D43E1"/>
    <w:rsid w:val="007F01CA"/>
    <w:rsid w:val="007F1EBC"/>
    <w:rsid w:val="007F25FA"/>
    <w:rsid w:val="007F64D3"/>
    <w:rsid w:val="0080552F"/>
    <w:rsid w:val="008069AA"/>
    <w:rsid w:val="008273F3"/>
    <w:rsid w:val="0083791C"/>
    <w:rsid w:val="00840C83"/>
    <w:rsid w:val="0085202E"/>
    <w:rsid w:val="0085518A"/>
    <w:rsid w:val="0086117A"/>
    <w:rsid w:val="00865136"/>
    <w:rsid w:val="00871302"/>
    <w:rsid w:val="0087691E"/>
    <w:rsid w:val="0087771F"/>
    <w:rsid w:val="008815E1"/>
    <w:rsid w:val="008A4C4B"/>
    <w:rsid w:val="008C431B"/>
    <w:rsid w:val="008C49D6"/>
    <w:rsid w:val="008C69C8"/>
    <w:rsid w:val="008C78DD"/>
    <w:rsid w:val="008D2544"/>
    <w:rsid w:val="00912B6C"/>
    <w:rsid w:val="00916139"/>
    <w:rsid w:val="009172BD"/>
    <w:rsid w:val="00922FFE"/>
    <w:rsid w:val="0092445F"/>
    <w:rsid w:val="0093159D"/>
    <w:rsid w:val="0094361A"/>
    <w:rsid w:val="00947F9B"/>
    <w:rsid w:val="009569F2"/>
    <w:rsid w:val="00956BB2"/>
    <w:rsid w:val="00957808"/>
    <w:rsid w:val="00960ED5"/>
    <w:rsid w:val="0096521A"/>
    <w:rsid w:val="0096581B"/>
    <w:rsid w:val="00970A70"/>
    <w:rsid w:val="0097201C"/>
    <w:rsid w:val="0097673B"/>
    <w:rsid w:val="00983C90"/>
    <w:rsid w:val="00994B7D"/>
    <w:rsid w:val="00997078"/>
    <w:rsid w:val="009A0605"/>
    <w:rsid w:val="009A6356"/>
    <w:rsid w:val="009C1933"/>
    <w:rsid w:val="009D4F8E"/>
    <w:rsid w:val="009D7745"/>
    <w:rsid w:val="009E02DC"/>
    <w:rsid w:val="00A00C08"/>
    <w:rsid w:val="00A021ED"/>
    <w:rsid w:val="00A17AEC"/>
    <w:rsid w:val="00A31079"/>
    <w:rsid w:val="00A554B3"/>
    <w:rsid w:val="00A6150C"/>
    <w:rsid w:val="00A61BE2"/>
    <w:rsid w:val="00A67CEF"/>
    <w:rsid w:val="00A804F8"/>
    <w:rsid w:val="00A95BF4"/>
    <w:rsid w:val="00AB0AC7"/>
    <w:rsid w:val="00AC2305"/>
    <w:rsid w:val="00AC46A1"/>
    <w:rsid w:val="00AD0635"/>
    <w:rsid w:val="00AE4610"/>
    <w:rsid w:val="00B1043A"/>
    <w:rsid w:val="00B16EB8"/>
    <w:rsid w:val="00B651F3"/>
    <w:rsid w:val="00B82658"/>
    <w:rsid w:val="00B95FBC"/>
    <w:rsid w:val="00BB4244"/>
    <w:rsid w:val="00BC444F"/>
    <w:rsid w:val="00BD1C36"/>
    <w:rsid w:val="00BE4EFC"/>
    <w:rsid w:val="00BE75A9"/>
    <w:rsid w:val="00BF7C98"/>
    <w:rsid w:val="00C01AC0"/>
    <w:rsid w:val="00C07279"/>
    <w:rsid w:val="00C127C2"/>
    <w:rsid w:val="00C12AA7"/>
    <w:rsid w:val="00C17309"/>
    <w:rsid w:val="00C27F61"/>
    <w:rsid w:val="00C437CB"/>
    <w:rsid w:val="00C45F18"/>
    <w:rsid w:val="00C60073"/>
    <w:rsid w:val="00C67CB4"/>
    <w:rsid w:val="00C71FD4"/>
    <w:rsid w:val="00C7439B"/>
    <w:rsid w:val="00CB13BA"/>
    <w:rsid w:val="00CE25A1"/>
    <w:rsid w:val="00CE580E"/>
    <w:rsid w:val="00CF7163"/>
    <w:rsid w:val="00D03E27"/>
    <w:rsid w:val="00D06329"/>
    <w:rsid w:val="00D159BF"/>
    <w:rsid w:val="00D23352"/>
    <w:rsid w:val="00D2580F"/>
    <w:rsid w:val="00D27CE3"/>
    <w:rsid w:val="00D37BE0"/>
    <w:rsid w:val="00D50657"/>
    <w:rsid w:val="00D56D0A"/>
    <w:rsid w:val="00D74889"/>
    <w:rsid w:val="00D76C3B"/>
    <w:rsid w:val="00D8727D"/>
    <w:rsid w:val="00DA1C16"/>
    <w:rsid w:val="00DA374D"/>
    <w:rsid w:val="00DA6363"/>
    <w:rsid w:val="00DB5D55"/>
    <w:rsid w:val="00DD7201"/>
    <w:rsid w:val="00DF12BD"/>
    <w:rsid w:val="00DF3D12"/>
    <w:rsid w:val="00E206B2"/>
    <w:rsid w:val="00E554C0"/>
    <w:rsid w:val="00E709D2"/>
    <w:rsid w:val="00E82266"/>
    <w:rsid w:val="00E85602"/>
    <w:rsid w:val="00E93C15"/>
    <w:rsid w:val="00EA1E3A"/>
    <w:rsid w:val="00EA3FBA"/>
    <w:rsid w:val="00EA456C"/>
    <w:rsid w:val="00EA7AE5"/>
    <w:rsid w:val="00EB23E7"/>
    <w:rsid w:val="00EB6C2C"/>
    <w:rsid w:val="00EC11D5"/>
    <w:rsid w:val="00EC2D36"/>
    <w:rsid w:val="00EE4287"/>
    <w:rsid w:val="00EE7A91"/>
    <w:rsid w:val="00EF46B3"/>
    <w:rsid w:val="00EF6F33"/>
    <w:rsid w:val="00F061E1"/>
    <w:rsid w:val="00F064D9"/>
    <w:rsid w:val="00F15159"/>
    <w:rsid w:val="00F169E9"/>
    <w:rsid w:val="00F46D84"/>
    <w:rsid w:val="00F62E07"/>
    <w:rsid w:val="00F82FEB"/>
    <w:rsid w:val="00F848B5"/>
    <w:rsid w:val="00F93E9A"/>
    <w:rsid w:val="00F97251"/>
    <w:rsid w:val="00F9755C"/>
    <w:rsid w:val="00F97D2D"/>
    <w:rsid w:val="00FA0741"/>
    <w:rsid w:val="00FA70D3"/>
    <w:rsid w:val="00FB26FE"/>
    <w:rsid w:val="00FC4E5C"/>
    <w:rsid w:val="00FE0CF7"/>
    <w:rsid w:val="00FE5CDC"/>
    <w:rsid w:val="2443A213"/>
    <w:rsid w:val="5DA6E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D26B"/>
  <w15:chartTrackingRefBased/>
  <w15:docId w15:val="{DE057CE7-4E4A-48E3-895C-0372D45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9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B"/>
    <w:rPr>
      <w:rFonts w:ascii="Segoe UI" w:hAnsi="Segoe UI" w:cs="Segoe UI"/>
      <w:sz w:val="18"/>
      <w:szCs w:val="18"/>
    </w:rPr>
  </w:style>
  <w:style w:type="character" w:styleId="CommentReference">
    <w:name w:val="annotation reference"/>
    <w:basedOn w:val="DefaultParagraphFont"/>
    <w:uiPriority w:val="99"/>
    <w:semiHidden/>
    <w:unhideWhenUsed/>
    <w:rsid w:val="008069AA"/>
    <w:rPr>
      <w:sz w:val="16"/>
      <w:szCs w:val="16"/>
    </w:rPr>
  </w:style>
  <w:style w:type="paragraph" w:styleId="CommentText">
    <w:name w:val="annotation text"/>
    <w:basedOn w:val="Normal"/>
    <w:link w:val="CommentTextChar"/>
    <w:uiPriority w:val="99"/>
    <w:semiHidden/>
    <w:unhideWhenUsed/>
    <w:rsid w:val="008069AA"/>
    <w:pPr>
      <w:spacing w:line="240" w:lineRule="auto"/>
    </w:pPr>
    <w:rPr>
      <w:sz w:val="20"/>
      <w:szCs w:val="20"/>
    </w:rPr>
  </w:style>
  <w:style w:type="character" w:customStyle="1" w:styleId="CommentTextChar">
    <w:name w:val="Comment Text Char"/>
    <w:basedOn w:val="DefaultParagraphFont"/>
    <w:link w:val="CommentText"/>
    <w:uiPriority w:val="99"/>
    <w:semiHidden/>
    <w:rsid w:val="008069AA"/>
    <w:rPr>
      <w:sz w:val="20"/>
      <w:szCs w:val="20"/>
    </w:rPr>
  </w:style>
  <w:style w:type="paragraph" w:styleId="CommentSubject">
    <w:name w:val="annotation subject"/>
    <w:basedOn w:val="CommentText"/>
    <w:next w:val="CommentText"/>
    <w:link w:val="CommentSubjectChar"/>
    <w:uiPriority w:val="99"/>
    <w:semiHidden/>
    <w:unhideWhenUsed/>
    <w:rsid w:val="008069AA"/>
    <w:rPr>
      <w:b/>
      <w:bCs/>
    </w:rPr>
  </w:style>
  <w:style w:type="character" w:customStyle="1" w:styleId="CommentSubjectChar">
    <w:name w:val="Comment Subject Char"/>
    <w:basedOn w:val="CommentTextChar"/>
    <w:link w:val="CommentSubject"/>
    <w:uiPriority w:val="99"/>
    <w:semiHidden/>
    <w:rsid w:val="008069AA"/>
    <w:rPr>
      <w:b/>
      <w:bCs/>
      <w:sz w:val="20"/>
      <w:szCs w:val="20"/>
    </w:rPr>
  </w:style>
  <w:style w:type="paragraph" w:styleId="Header">
    <w:name w:val="header"/>
    <w:basedOn w:val="Normal"/>
    <w:link w:val="HeaderChar"/>
    <w:uiPriority w:val="99"/>
    <w:unhideWhenUsed/>
    <w:rsid w:val="0007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DF"/>
  </w:style>
  <w:style w:type="paragraph" w:styleId="Footer">
    <w:name w:val="footer"/>
    <w:basedOn w:val="Normal"/>
    <w:link w:val="FooterChar"/>
    <w:uiPriority w:val="99"/>
    <w:unhideWhenUsed/>
    <w:rsid w:val="0007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DF"/>
  </w:style>
  <w:style w:type="paragraph" w:styleId="NormalWeb">
    <w:name w:val="Normal (Web)"/>
    <w:basedOn w:val="Normal"/>
    <w:uiPriority w:val="99"/>
    <w:semiHidden/>
    <w:unhideWhenUsed/>
    <w:rsid w:val="005F21B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77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33D"/>
    <w:rPr>
      <w:sz w:val="20"/>
      <w:szCs w:val="20"/>
    </w:rPr>
  </w:style>
  <w:style w:type="character" w:styleId="FootnoteReference">
    <w:name w:val="footnote reference"/>
    <w:basedOn w:val="DefaultParagraphFont"/>
    <w:uiPriority w:val="99"/>
    <w:semiHidden/>
    <w:unhideWhenUsed/>
    <w:rsid w:val="0007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81933">
      <w:bodyDiv w:val="1"/>
      <w:marLeft w:val="0"/>
      <w:marRight w:val="0"/>
      <w:marTop w:val="0"/>
      <w:marBottom w:val="0"/>
      <w:divBdr>
        <w:top w:val="none" w:sz="0" w:space="0" w:color="auto"/>
        <w:left w:val="none" w:sz="0" w:space="0" w:color="auto"/>
        <w:bottom w:val="none" w:sz="0" w:space="0" w:color="auto"/>
        <w:right w:val="none" w:sz="0" w:space="0" w:color="auto"/>
      </w:divBdr>
      <w:divsChild>
        <w:div w:id="1711687562">
          <w:marLeft w:val="547"/>
          <w:marRight w:val="0"/>
          <w:marTop w:val="0"/>
          <w:marBottom w:val="120"/>
          <w:divBdr>
            <w:top w:val="none" w:sz="0" w:space="0" w:color="auto"/>
            <w:left w:val="none" w:sz="0" w:space="0" w:color="auto"/>
            <w:bottom w:val="none" w:sz="0" w:space="0" w:color="auto"/>
            <w:right w:val="none" w:sz="0" w:space="0" w:color="auto"/>
          </w:divBdr>
        </w:div>
      </w:divsChild>
    </w:div>
    <w:div w:id="364674212">
      <w:bodyDiv w:val="1"/>
      <w:marLeft w:val="0"/>
      <w:marRight w:val="0"/>
      <w:marTop w:val="0"/>
      <w:marBottom w:val="0"/>
      <w:divBdr>
        <w:top w:val="none" w:sz="0" w:space="0" w:color="auto"/>
        <w:left w:val="none" w:sz="0" w:space="0" w:color="auto"/>
        <w:bottom w:val="none" w:sz="0" w:space="0" w:color="auto"/>
        <w:right w:val="none" w:sz="0" w:space="0" w:color="auto"/>
      </w:divBdr>
    </w:div>
    <w:div w:id="591620468">
      <w:bodyDiv w:val="1"/>
      <w:marLeft w:val="0"/>
      <w:marRight w:val="0"/>
      <w:marTop w:val="0"/>
      <w:marBottom w:val="0"/>
      <w:divBdr>
        <w:top w:val="none" w:sz="0" w:space="0" w:color="auto"/>
        <w:left w:val="none" w:sz="0" w:space="0" w:color="auto"/>
        <w:bottom w:val="none" w:sz="0" w:space="0" w:color="auto"/>
        <w:right w:val="none" w:sz="0" w:space="0" w:color="auto"/>
      </w:divBdr>
    </w:div>
    <w:div w:id="624967663">
      <w:bodyDiv w:val="1"/>
      <w:marLeft w:val="0"/>
      <w:marRight w:val="0"/>
      <w:marTop w:val="0"/>
      <w:marBottom w:val="0"/>
      <w:divBdr>
        <w:top w:val="none" w:sz="0" w:space="0" w:color="auto"/>
        <w:left w:val="none" w:sz="0" w:space="0" w:color="auto"/>
        <w:bottom w:val="none" w:sz="0" w:space="0" w:color="auto"/>
        <w:right w:val="none" w:sz="0" w:space="0" w:color="auto"/>
      </w:divBdr>
      <w:divsChild>
        <w:div w:id="721290795">
          <w:marLeft w:val="274"/>
          <w:marRight w:val="0"/>
          <w:marTop w:val="0"/>
          <w:marBottom w:val="120"/>
          <w:divBdr>
            <w:top w:val="none" w:sz="0" w:space="0" w:color="auto"/>
            <w:left w:val="none" w:sz="0" w:space="0" w:color="auto"/>
            <w:bottom w:val="none" w:sz="0" w:space="0" w:color="auto"/>
            <w:right w:val="none" w:sz="0" w:space="0" w:color="auto"/>
          </w:divBdr>
        </w:div>
      </w:divsChild>
    </w:div>
    <w:div w:id="716009620">
      <w:bodyDiv w:val="1"/>
      <w:marLeft w:val="0"/>
      <w:marRight w:val="0"/>
      <w:marTop w:val="0"/>
      <w:marBottom w:val="0"/>
      <w:divBdr>
        <w:top w:val="none" w:sz="0" w:space="0" w:color="auto"/>
        <w:left w:val="none" w:sz="0" w:space="0" w:color="auto"/>
        <w:bottom w:val="none" w:sz="0" w:space="0" w:color="auto"/>
        <w:right w:val="none" w:sz="0" w:space="0" w:color="auto"/>
      </w:divBdr>
      <w:divsChild>
        <w:div w:id="833684111">
          <w:marLeft w:val="547"/>
          <w:marRight w:val="0"/>
          <w:marTop w:val="0"/>
          <w:marBottom w:val="120"/>
          <w:divBdr>
            <w:top w:val="none" w:sz="0" w:space="0" w:color="auto"/>
            <w:left w:val="none" w:sz="0" w:space="0" w:color="auto"/>
            <w:bottom w:val="none" w:sz="0" w:space="0" w:color="auto"/>
            <w:right w:val="none" w:sz="0" w:space="0" w:color="auto"/>
          </w:divBdr>
        </w:div>
        <w:div w:id="1716347085">
          <w:marLeft w:val="547"/>
          <w:marRight w:val="0"/>
          <w:marTop w:val="0"/>
          <w:marBottom w:val="120"/>
          <w:divBdr>
            <w:top w:val="none" w:sz="0" w:space="0" w:color="auto"/>
            <w:left w:val="none" w:sz="0" w:space="0" w:color="auto"/>
            <w:bottom w:val="none" w:sz="0" w:space="0" w:color="auto"/>
            <w:right w:val="none" w:sz="0" w:space="0" w:color="auto"/>
          </w:divBdr>
        </w:div>
      </w:divsChild>
    </w:div>
    <w:div w:id="830019929">
      <w:bodyDiv w:val="1"/>
      <w:marLeft w:val="0"/>
      <w:marRight w:val="0"/>
      <w:marTop w:val="0"/>
      <w:marBottom w:val="0"/>
      <w:divBdr>
        <w:top w:val="none" w:sz="0" w:space="0" w:color="auto"/>
        <w:left w:val="none" w:sz="0" w:space="0" w:color="auto"/>
        <w:bottom w:val="none" w:sz="0" w:space="0" w:color="auto"/>
        <w:right w:val="none" w:sz="0" w:space="0" w:color="auto"/>
      </w:divBdr>
    </w:div>
    <w:div w:id="904998621">
      <w:bodyDiv w:val="1"/>
      <w:marLeft w:val="0"/>
      <w:marRight w:val="0"/>
      <w:marTop w:val="0"/>
      <w:marBottom w:val="0"/>
      <w:divBdr>
        <w:top w:val="none" w:sz="0" w:space="0" w:color="auto"/>
        <w:left w:val="none" w:sz="0" w:space="0" w:color="auto"/>
        <w:bottom w:val="none" w:sz="0" w:space="0" w:color="auto"/>
        <w:right w:val="none" w:sz="0" w:space="0" w:color="auto"/>
      </w:divBdr>
    </w:div>
    <w:div w:id="951398179">
      <w:bodyDiv w:val="1"/>
      <w:marLeft w:val="0"/>
      <w:marRight w:val="0"/>
      <w:marTop w:val="0"/>
      <w:marBottom w:val="0"/>
      <w:divBdr>
        <w:top w:val="none" w:sz="0" w:space="0" w:color="auto"/>
        <w:left w:val="none" w:sz="0" w:space="0" w:color="auto"/>
        <w:bottom w:val="none" w:sz="0" w:space="0" w:color="auto"/>
        <w:right w:val="none" w:sz="0" w:space="0" w:color="auto"/>
      </w:divBdr>
    </w:div>
    <w:div w:id="993951543">
      <w:bodyDiv w:val="1"/>
      <w:marLeft w:val="0"/>
      <w:marRight w:val="0"/>
      <w:marTop w:val="0"/>
      <w:marBottom w:val="0"/>
      <w:divBdr>
        <w:top w:val="none" w:sz="0" w:space="0" w:color="auto"/>
        <w:left w:val="none" w:sz="0" w:space="0" w:color="auto"/>
        <w:bottom w:val="none" w:sz="0" w:space="0" w:color="auto"/>
        <w:right w:val="none" w:sz="0" w:space="0" w:color="auto"/>
      </w:divBdr>
      <w:divsChild>
        <w:div w:id="546263066">
          <w:marLeft w:val="274"/>
          <w:marRight w:val="0"/>
          <w:marTop w:val="0"/>
          <w:marBottom w:val="60"/>
          <w:divBdr>
            <w:top w:val="none" w:sz="0" w:space="0" w:color="auto"/>
            <w:left w:val="none" w:sz="0" w:space="0" w:color="auto"/>
            <w:bottom w:val="none" w:sz="0" w:space="0" w:color="auto"/>
            <w:right w:val="none" w:sz="0" w:space="0" w:color="auto"/>
          </w:divBdr>
        </w:div>
        <w:div w:id="923341877">
          <w:marLeft w:val="806"/>
          <w:marRight w:val="0"/>
          <w:marTop w:val="0"/>
          <w:marBottom w:val="60"/>
          <w:divBdr>
            <w:top w:val="none" w:sz="0" w:space="0" w:color="auto"/>
            <w:left w:val="none" w:sz="0" w:space="0" w:color="auto"/>
            <w:bottom w:val="none" w:sz="0" w:space="0" w:color="auto"/>
            <w:right w:val="none" w:sz="0" w:space="0" w:color="auto"/>
          </w:divBdr>
        </w:div>
        <w:div w:id="930889162">
          <w:marLeft w:val="806"/>
          <w:marRight w:val="0"/>
          <w:marTop w:val="0"/>
          <w:marBottom w:val="60"/>
          <w:divBdr>
            <w:top w:val="none" w:sz="0" w:space="0" w:color="auto"/>
            <w:left w:val="none" w:sz="0" w:space="0" w:color="auto"/>
            <w:bottom w:val="none" w:sz="0" w:space="0" w:color="auto"/>
            <w:right w:val="none" w:sz="0" w:space="0" w:color="auto"/>
          </w:divBdr>
        </w:div>
        <w:div w:id="1169976803">
          <w:marLeft w:val="806"/>
          <w:marRight w:val="0"/>
          <w:marTop w:val="0"/>
          <w:marBottom w:val="60"/>
          <w:divBdr>
            <w:top w:val="none" w:sz="0" w:space="0" w:color="auto"/>
            <w:left w:val="none" w:sz="0" w:space="0" w:color="auto"/>
            <w:bottom w:val="none" w:sz="0" w:space="0" w:color="auto"/>
            <w:right w:val="none" w:sz="0" w:space="0" w:color="auto"/>
          </w:divBdr>
        </w:div>
        <w:div w:id="1861355929">
          <w:marLeft w:val="806"/>
          <w:marRight w:val="0"/>
          <w:marTop w:val="0"/>
          <w:marBottom w:val="60"/>
          <w:divBdr>
            <w:top w:val="none" w:sz="0" w:space="0" w:color="auto"/>
            <w:left w:val="none" w:sz="0" w:space="0" w:color="auto"/>
            <w:bottom w:val="none" w:sz="0" w:space="0" w:color="auto"/>
            <w:right w:val="none" w:sz="0" w:space="0" w:color="auto"/>
          </w:divBdr>
        </w:div>
        <w:div w:id="1961257803">
          <w:marLeft w:val="806"/>
          <w:marRight w:val="0"/>
          <w:marTop w:val="0"/>
          <w:marBottom w:val="60"/>
          <w:divBdr>
            <w:top w:val="none" w:sz="0" w:space="0" w:color="auto"/>
            <w:left w:val="none" w:sz="0" w:space="0" w:color="auto"/>
            <w:bottom w:val="none" w:sz="0" w:space="0" w:color="auto"/>
            <w:right w:val="none" w:sz="0" w:space="0" w:color="auto"/>
          </w:divBdr>
        </w:div>
        <w:div w:id="2097938934">
          <w:marLeft w:val="806"/>
          <w:marRight w:val="0"/>
          <w:marTop w:val="0"/>
          <w:marBottom w:val="60"/>
          <w:divBdr>
            <w:top w:val="none" w:sz="0" w:space="0" w:color="auto"/>
            <w:left w:val="none" w:sz="0" w:space="0" w:color="auto"/>
            <w:bottom w:val="none" w:sz="0" w:space="0" w:color="auto"/>
            <w:right w:val="none" w:sz="0" w:space="0" w:color="auto"/>
          </w:divBdr>
        </w:div>
      </w:divsChild>
    </w:div>
    <w:div w:id="1115052066">
      <w:bodyDiv w:val="1"/>
      <w:marLeft w:val="0"/>
      <w:marRight w:val="0"/>
      <w:marTop w:val="0"/>
      <w:marBottom w:val="0"/>
      <w:divBdr>
        <w:top w:val="none" w:sz="0" w:space="0" w:color="auto"/>
        <w:left w:val="none" w:sz="0" w:space="0" w:color="auto"/>
        <w:bottom w:val="none" w:sz="0" w:space="0" w:color="auto"/>
        <w:right w:val="none" w:sz="0" w:space="0" w:color="auto"/>
      </w:divBdr>
      <w:divsChild>
        <w:div w:id="315228609">
          <w:marLeft w:val="274"/>
          <w:marRight w:val="0"/>
          <w:marTop w:val="0"/>
          <w:marBottom w:val="0"/>
          <w:divBdr>
            <w:top w:val="none" w:sz="0" w:space="0" w:color="auto"/>
            <w:left w:val="none" w:sz="0" w:space="0" w:color="auto"/>
            <w:bottom w:val="none" w:sz="0" w:space="0" w:color="auto"/>
            <w:right w:val="none" w:sz="0" w:space="0" w:color="auto"/>
          </w:divBdr>
        </w:div>
      </w:divsChild>
    </w:div>
    <w:div w:id="1359890371">
      <w:bodyDiv w:val="1"/>
      <w:marLeft w:val="0"/>
      <w:marRight w:val="0"/>
      <w:marTop w:val="0"/>
      <w:marBottom w:val="0"/>
      <w:divBdr>
        <w:top w:val="none" w:sz="0" w:space="0" w:color="auto"/>
        <w:left w:val="none" w:sz="0" w:space="0" w:color="auto"/>
        <w:bottom w:val="none" w:sz="0" w:space="0" w:color="auto"/>
        <w:right w:val="none" w:sz="0" w:space="0" w:color="auto"/>
      </w:divBdr>
    </w:div>
    <w:div w:id="1773892874">
      <w:bodyDiv w:val="1"/>
      <w:marLeft w:val="0"/>
      <w:marRight w:val="0"/>
      <w:marTop w:val="0"/>
      <w:marBottom w:val="0"/>
      <w:divBdr>
        <w:top w:val="none" w:sz="0" w:space="0" w:color="auto"/>
        <w:left w:val="none" w:sz="0" w:space="0" w:color="auto"/>
        <w:bottom w:val="none" w:sz="0" w:space="0" w:color="auto"/>
        <w:right w:val="none" w:sz="0" w:space="0" w:color="auto"/>
      </w:divBdr>
      <w:divsChild>
        <w:div w:id="171258734">
          <w:marLeft w:val="274"/>
          <w:marRight w:val="0"/>
          <w:marTop w:val="0"/>
          <w:marBottom w:val="60"/>
          <w:divBdr>
            <w:top w:val="none" w:sz="0" w:space="0" w:color="auto"/>
            <w:left w:val="none" w:sz="0" w:space="0" w:color="auto"/>
            <w:bottom w:val="none" w:sz="0" w:space="0" w:color="auto"/>
            <w:right w:val="none" w:sz="0" w:space="0" w:color="auto"/>
          </w:divBdr>
        </w:div>
        <w:div w:id="453642599">
          <w:marLeft w:val="274"/>
          <w:marRight w:val="0"/>
          <w:marTop w:val="0"/>
          <w:marBottom w:val="60"/>
          <w:divBdr>
            <w:top w:val="none" w:sz="0" w:space="0" w:color="auto"/>
            <w:left w:val="none" w:sz="0" w:space="0" w:color="auto"/>
            <w:bottom w:val="none" w:sz="0" w:space="0" w:color="auto"/>
            <w:right w:val="none" w:sz="0" w:space="0" w:color="auto"/>
          </w:divBdr>
        </w:div>
        <w:div w:id="472139888">
          <w:marLeft w:val="274"/>
          <w:marRight w:val="0"/>
          <w:marTop w:val="0"/>
          <w:marBottom w:val="60"/>
          <w:divBdr>
            <w:top w:val="none" w:sz="0" w:space="0" w:color="auto"/>
            <w:left w:val="none" w:sz="0" w:space="0" w:color="auto"/>
            <w:bottom w:val="none" w:sz="0" w:space="0" w:color="auto"/>
            <w:right w:val="none" w:sz="0" w:space="0" w:color="auto"/>
          </w:divBdr>
        </w:div>
        <w:div w:id="899097834">
          <w:marLeft w:val="274"/>
          <w:marRight w:val="0"/>
          <w:marTop w:val="0"/>
          <w:marBottom w:val="60"/>
          <w:divBdr>
            <w:top w:val="none" w:sz="0" w:space="0" w:color="auto"/>
            <w:left w:val="none" w:sz="0" w:space="0" w:color="auto"/>
            <w:bottom w:val="none" w:sz="0" w:space="0" w:color="auto"/>
            <w:right w:val="none" w:sz="0" w:space="0" w:color="auto"/>
          </w:divBdr>
        </w:div>
        <w:div w:id="1225140961">
          <w:marLeft w:val="274"/>
          <w:marRight w:val="0"/>
          <w:marTop w:val="0"/>
          <w:marBottom w:val="60"/>
          <w:divBdr>
            <w:top w:val="none" w:sz="0" w:space="0" w:color="auto"/>
            <w:left w:val="none" w:sz="0" w:space="0" w:color="auto"/>
            <w:bottom w:val="none" w:sz="0" w:space="0" w:color="auto"/>
            <w:right w:val="none" w:sz="0" w:space="0" w:color="auto"/>
          </w:divBdr>
        </w:div>
        <w:div w:id="1374306245">
          <w:marLeft w:val="274"/>
          <w:marRight w:val="0"/>
          <w:marTop w:val="0"/>
          <w:marBottom w:val="60"/>
          <w:divBdr>
            <w:top w:val="none" w:sz="0" w:space="0" w:color="auto"/>
            <w:left w:val="none" w:sz="0" w:space="0" w:color="auto"/>
            <w:bottom w:val="none" w:sz="0" w:space="0" w:color="auto"/>
            <w:right w:val="none" w:sz="0" w:space="0" w:color="auto"/>
          </w:divBdr>
        </w:div>
        <w:div w:id="1577395694">
          <w:marLeft w:val="274"/>
          <w:marRight w:val="0"/>
          <w:marTop w:val="0"/>
          <w:marBottom w:val="60"/>
          <w:divBdr>
            <w:top w:val="none" w:sz="0" w:space="0" w:color="auto"/>
            <w:left w:val="none" w:sz="0" w:space="0" w:color="auto"/>
            <w:bottom w:val="none" w:sz="0" w:space="0" w:color="auto"/>
            <w:right w:val="none" w:sz="0" w:space="0" w:color="auto"/>
          </w:divBdr>
        </w:div>
        <w:div w:id="1632861098">
          <w:marLeft w:val="274"/>
          <w:marRight w:val="0"/>
          <w:marTop w:val="0"/>
          <w:marBottom w:val="60"/>
          <w:divBdr>
            <w:top w:val="none" w:sz="0" w:space="0" w:color="auto"/>
            <w:left w:val="none" w:sz="0" w:space="0" w:color="auto"/>
            <w:bottom w:val="none" w:sz="0" w:space="0" w:color="auto"/>
            <w:right w:val="none" w:sz="0" w:space="0" w:color="auto"/>
          </w:divBdr>
        </w:div>
        <w:div w:id="1896812101">
          <w:marLeft w:val="274"/>
          <w:marRight w:val="0"/>
          <w:marTop w:val="0"/>
          <w:marBottom w:val="60"/>
          <w:divBdr>
            <w:top w:val="none" w:sz="0" w:space="0" w:color="auto"/>
            <w:left w:val="none" w:sz="0" w:space="0" w:color="auto"/>
            <w:bottom w:val="none" w:sz="0" w:space="0" w:color="auto"/>
            <w:right w:val="none" w:sz="0" w:space="0" w:color="auto"/>
          </w:divBdr>
        </w:div>
        <w:div w:id="1963925335">
          <w:marLeft w:val="274"/>
          <w:marRight w:val="0"/>
          <w:marTop w:val="0"/>
          <w:marBottom w:val="60"/>
          <w:divBdr>
            <w:top w:val="none" w:sz="0" w:space="0" w:color="auto"/>
            <w:left w:val="none" w:sz="0" w:space="0" w:color="auto"/>
            <w:bottom w:val="none" w:sz="0" w:space="0" w:color="auto"/>
            <w:right w:val="none" w:sz="0" w:space="0" w:color="auto"/>
          </w:divBdr>
        </w:div>
      </w:divsChild>
    </w:div>
    <w:div w:id="2046783314">
      <w:bodyDiv w:val="1"/>
      <w:marLeft w:val="0"/>
      <w:marRight w:val="0"/>
      <w:marTop w:val="0"/>
      <w:marBottom w:val="0"/>
      <w:divBdr>
        <w:top w:val="none" w:sz="0" w:space="0" w:color="auto"/>
        <w:left w:val="none" w:sz="0" w:space="0" w:color="auto"/>
        <w:bottom w:val="none" w:sz="0" w:space="0" w:color="auto"/>
        <w:right w:val="none" w:sz="0" w:space="0" w:color="auto"/>
      </w:divBdr>
      <w:divsChild>
        <w:div w:id="85344774">
          <w:marLeft w:val="806"/>
          <w:marRight w:val="0"/>
          <w:marTop w:val="0"/>
          <w:marBottom w:val="60"/>
          <w:divBdr>
            <w:top w:val="none" w:sz="0" w:space="0" w:color="auto"/>
            <w:left w:val="none" w:sz="0" w:space="0" w:color="auto"/>
            <w:bottom w:val="none" w:sz="0" w:space="0" w:color="auto"/>
            <w:right w:val="none" w:sz="0" w:space="0" w:color="auto"/>
          </w:divBdr>
        </w:div>
        <w:div w:id="289675762">
          <w:marLeft w:val="806"/>
          <w:marRight w:val="0"/>
          <w:marTop w:val="0"/>
          <w:marBottom w:val="120"/>
          <w:divBdr>
            <w:top w:val="none" w:sz="0" w:space="0" w:color="auto"/>
            <w:left w:val="none" w:sz="0" w:space="0" w:color="auto"/>
            <w:bottom w:val="none" w:sz="0" w:space="0" w:color="auto"/>
            <w:right w:val="none" w:sz="0" w:space="0" w:color="auto"/>
          </w:divBdr>
        </w:div>
        <w:div w:id="495610010">
          <w:marLeft w:val="274"/>
          <w:marRight w:val="0"/>
          <w:marTop w:val="0"/>
          <w:marBottom w:val="60"/>
          <w:divBdr>
            <w:top w:val="none" w:sz="0" w:space="0" w:color="auto"/>
            <w:left w:val="none" w:sz="0" w:space="0" w:color="auto"/>
            <w:bottom w:val="none" w:sz="0" w:space="0" w:color="auto"/>
            <w:right w:val="none" w:sz="0" w:space="0" w:color="auto"/>
          </w:divBdr>
        </w:div>
        <w:div w:id="1681271781">
          <w:marLeft w:val="806"/>
          <w:marRight w:val="0"/>
          <w:marTop w:val="0"/>
          <w:marBottom w:val="60"/>
          <w:divBdr>
            <w:top w:val="none" w:sz="0" w:space="0" w:color="auto"/>
            <w:left w:val="none" w:sz="0" w:space="0" w:color="auto"/>
            <w:bottom w:val="none" w:sz="0" w:space="0" w:color="auto"/>
            <w:right w:val="none" w:sz="0" w:space="0" w:color="auto"/>
          </w:divBdr>
        </w:div>
        <w:div w:id="2011366044">
          <w:marLeft w:val="806"/>
          <w:marRight w:val="0"/>
          <w:marTop w:val="0"/>
          <w:marBottom w:val="60"/>
          <w:divBdr>
            <w:top w:val="none" w:sz="0" w:space="0" w:color="auto"/>
            <w:left w:val="none" w:sz="0" w:space="0" w:color="auto"/>
            <w:bottom w:val="none" w:sz="0" w:space="0" w:color="auto"/>
            <w:right w:val="none" w:sz="0" w:space="0" w:color="auto"/>
          </w:divBdr>
        </w:div>
      </w:divsChild>
    </w:div>
    <w:div w:id="2098625866">
      <w:bodyDiv w:val="1"/>
      <w:marLeft w:val="0"/>
      <w:marRight w:val="0"/>
      <w:marTop w:val="0"/>
      <w:marBottom w:val="0"/>
      <w:divBdr>
        <w:top w:val="none" w:sz="0" w:space="0" w:color="auto"/>
        <w:left w:val="none" w:sz="0" w:space="0" w:color="auto"/>
        <w:bottom w:val="none" w:sz="0" w:space="0" w:color="auto"/>
        <w:right w:val="none" w:sz="0" w:space="0" w:color="auto"/>
      </w:divBdr>
      <w:divsChild>
        <w:div w:id="329334551">
          <w:marLeft w:val="274"/>
          <w:marRight w:val="0"/>
          <w:marTop w:val="0"/>
          <w:marBottom w:val="120"/>
          <w:divBdr>
            <w:top w:val="none" w:sz="0" w:space="0" w:color="auto"/>
            <w:left w:val="none" w:sz="0" w:space="0" w:color="auto"/>
            <w:bottom w:val="none" w:sz="0" w:space="0" w:color="auto"/>
            <w:right w:val="none" w:sz="0" w:space="0" w:color="auto"/>
          </w:divBdr>
        </w:div>
        <w:div w:id="411240337">
          <w:marLeft w:val="274"/>
          <w:marRight w:val="0"/>
          <w:marTop w:val="0"/>
          <w:marBottom w:val="120"/>
          <w:divBdr>
            <w:top w:val="none" w:sz="0" w:space="0" w:color="auto"/>
            <w:left w:val="none" w:sz="0" w:space="0" w:color="auto"/>
            <w:bottom w:val="none" w:sz="0" w:space="0" w:color="auto"/>
            <w:right w:val="none" w:sz="0" w:space="0" w:color="auto"/>
          </w:divBdr>
        </w:div>
        <w:div w:id="1157304638">
          <w:marLeft w:val="547"/>
          <w:marRight w:val="0"/>
          <w:marTop w:val="0"/>
          <w:marBottom w:val="120"/>
          <w:divBdr>
            <w:top w:val="none" w:sz="0" w:space="0" w:color="auto"/>
            <w:left w:val="none" w:sz="0" w:space="0" w:color="auto"/>
            <w:bottom w:val="none" w:sz="0" w:space="0" w:color="auto"/>
            <w:right w:val="none" w:sz="0" w:space="0" w:color="auto"/>
          </w:divBdr>
        </w:div>
        <w:div w:id="1229147059">
          <w:marLeft w:val="547"/>
          <w:marRight w:val="0"/>
          <w:marTop w:val="0"/>
          <w:marBottom w:val="120"/>
          <w:divBdr>
            <w:top w:val="none" w:sz="0" w:space="0" w:color="auto"/>
            <w:left w:val="none" w:sz="0" w:space="0" w:color="auto"/>
            <w:bottom w:val="none" w:sz="0" w:space="0" w:color="auto"/>
            <w:right w:val="none" w:sz="0" w:space="0" w:color="auto"/>
          </w:divBdr>
        </w:div>
        <w:div w:id="1394162929">
          <w:marLeft w:val="274"/>
          <w:marRight w:val="0"/>
          <w:marTop w:val="0"/>
          <w:marBottom w:val="120"/>
          <w:divBdr>
            <w:top w:val="none" w:sz="0" w:space="0" w:color="auto"/>
            <w:left w:val="none" w:sz="0" w:space="0" w:color="auto"/>
            <w:bottom w:val="none" w:sz="0" w:space="0" w:color="auto"/>
            <w:right w:val="none" w:sz="0" w:space="0" w:color="auto"/>
          </w:divBdr>
        </w:div>
        <w:div w:id="1781682412">
          <w:marLeft w:val="547"/>
          <w:marRight w:val="0"/>
          <w:marTop w:val="0"/>
          <w:marBottom w:val="120"/>
          <w:divBdr>
            <w:top w:val="none" w:sz="0" w:space="0" w:color="auto"/>
            <w:left w:val="none" w:sz="0" w:space="0" w:color="auto"/>
            <w:bottom w:val="none" w:sz="0" w:space="0" w:color="auto"/>
            <w:right w:val="none" w:sz="0" w:space="0" w:color="auto"/>
          </w:divBdr>
        </w:div>
        <w:div w:id="213209160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106ED144AAF4C990E98A827473D85" ma:contentTypeVersion="2" ma:contentTypeDescription="Create a new document." ma:contentTypeScope="" ma:versionID="0558fa644024a2646dda1b71e0b36ded">
  <xsd:schema xmlns:xsd="http://www.w3.org/2001/XMLSchema" xmlns:xs="http://www.w3.org/2001/XMLSchema" xmlns:p="http://schemas.microsoft.com/office/2006/metadata/properties" xmlns:ns2="e945302d-9a08-4d25-a646-9f45423b29f9" targetNamespace="http://schemas.microsoft.com/office/2006/metadata/properties" ma:root="true" ma:fieldsID="47ce16c7765b6c2f47326c24e86ed518" ns2:_="">
    <xsd:import namespace="e945302d-9a08-4d25-a646-9f45423b29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5302d-9a08-4d25-a646-9f45423b2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363C-4207-4F74-9E91-764720484529}">
  <ds:schemaRefs>
    <ds:schemaRef ds:uri="http://schemas.openxmlformats.org/officeDocument/2006/bibliography"/>
  </ds:schemaRefs>
</ds:datastoreItem>
</file>

<file path=customXml/itemProps2.xml><?xml version="1.0" encoding="utf-8"?>
<ds:datastoreItem xmlns:ds="http://schemas.openxmlformats.org/officeDocument/2006/customXml" ds:itemID="{3F7F0CE4-6F36-4626-A8E4-B4045CB66225}">
  <ds:schemaRefs>
    <ds:schemaRef ds:uri="http://schemas.openxmlformats.org/package/2006/metadata/core-properties"/>
    <ds:schemaRef ds:uri="e945302d-9a08-4d25-a646-9f45423b29f9"/>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8430C6-0515-4A9F-AD55-E0ECC1B7816E}">
  <ds:schemaRefs>
    <ds:schemaRef ds:uri="http://schemas.microsoft.com/sharepoint/v3/contenttype/forms"/>
  </ds:schemaRefs>
</ds:datastoreItem>
</file>

<file path=customXml/itemProps4.xml><?xml version="1.0" encoding="utf-8"?>
<ds:datastoreItem xmlns:ds="http://schemas.openxmlformats.org/officeDocument/2006/customXml" ds:itemID="{5BCBE1BE-AA82-461B-8EB9-98EF2540D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5302d-9a08-4d25-a646-9f45423b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DTSC Permitting Division Workload Key Findings</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DTSC Permitting Division Workload Key Findings</dc:title>
  <dc:subject/>
  <dc:creator>Numazu, Jane@DTSC</dc:creator>
  <cp:keywords/>
  <dc:description/>
  <cp:lastModifiedBy>Numazu, Jane@DTSC</cp:lastModifiedBy>
  <cp:revision>6</cp:revision>
  <cp:lastPrinted>2020-02-28T17:54:00Z</cp:lastPrinted>
  <dcterms:created xsi:type="dcterms:W3CDTF">2021-01-29T20:50:00Z</dcterms:created>
  <dcterms:modified xsi:type="dcterms:W3CDTF">2021-02-01T19:38:00Z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0x0101007D0106ED144AAF4C990E98A827473D85</vt:lpwstr>
  </property>
</Properties>
</file>