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CC02" w14:textId="77777777" w:rsidR="00D12B2F" w:rsidRPr="00262147" w:rsidRDefault="00D12B2F" w:rsidP="00D12B2F">
      <w:pPr>
        <w:pStyle w:val="Header"/>
        <w:jc w:val="center"/>
        <w:rPr>
          <w:rFonts w:ascii="Arial" w:hAnsi="Arial" w:cs="Arial"/>
          <w:b/>
          <w:bCs/>
          <w:sz w:val="24"/>
          <w:szCs w:val="24"/>
        </w:rPr>
      </w:pPr>
      <w:r w:rsidRPr="00262147">
        <w:rPr>
          <w:rFonts w:ascii="Arial" w:hAnsi="Arial" w:cs="Arial"/>
          <w:b/>
          <w:bCs/>
          <w:sz w:val="24"/>
          <w:szCs w:val="24"/>
        </w:rPr>
        <w:t>Hazardous Waste Management Program</w:t>
      </w:r>
    </w:p>
    <w:p w14:paraId="4CCE4B8E" w14:textId="77777777" w:rsidR="00D12B2F" w:rsidRPr="00262147" w:rsidRDefault="00D12B2F" w:rsidP="00D12B2F">
      <w:pPr>
        <w:pStyle w:val="Header"/>
        <w:jc w:val="center"/>
        <w:rPr>
          <w:rFonts w:ascii="Arial" w:hAnsi="Arial" w:cs="Arial"/>
          <w:b/>
          <w:bCs/>
          <w:sz w:val="24"/>
          <w:szCs w:val="24"/>
        </w:rPr>
      </w:pPr>
      <w:r w:rsidRPr="00262147">
        <w:rPr>
          <w:rFonts w:ascii="Arial" w:hAnsi="Arial" w:cs="Arial"/>
          <w:b/>
          <w:bCs/>
          <w:sz w:val="24"/>
          <w:szCs w:val="24"/>
        </w:rPr>
        <w:t>Policy and Program Support Branch</w:t>
      </w:r>
    </w:p>
    <w:p w14:paraId="213576E8" w14:textId="77777777" w:rsidR="00D12B2F" w:rsidRPr="00262147" w:rsidRDefault="00D12B2F" w:rsidP="00D12B2F">
      <w:pPr>
        <w:pStyle w:val="Header"/>
        <w:jc w:val="center"/>
        <w:rPr>
          <w:rFonts w:ascii="Arial" w:hAnsi="Arial" w:cs="Arial"/>
          <w:b/>
          <w:bCs/>
          <w:sz w:val="24"/>
          <w:szCs w:val="24"/>
        </w:rPr>
      </w:pPr>
      <w:r w:rsidRPr="00262147">
        <w:rPr>
          <w:rFonts w:ascii="Arial" w:hAnsi="Arial" w:cs="Arial"/>
          <w:b/>
          <w:bCs/>
          <w:sz w:val="24"/>
          <w:szCs w:val="24"/>
        </w:rPr>
        <w:t>Workload Analysis for FY 2018-19</w:t>
      </w:r>
    </w:p>
    <w:p w14:paraId="1B1F6079" w14:textId="77777777" w:rsidR="00D12B2F" w:rsidRPr="00262147" w:rsidRDefault="00D12B2F" w:rsidP="00D12B2F">
      <w:pPr>
        <w:pStyle w:val="Header"/>
        <w:jc w:val="center"/>
        <w:rPr>
          <w:rFonts w:ascii="Arial" w:hAnsi="Arial" w:cs="Arial"/>
          <w:sz w:val="24"/>
          <w:szCs w:val="24"/>
        </w:rPr>
      </w:pPr>
      <w:r w:rsidRPr="00262147">
        <w:rPr>
          <w:rFonts w:ascii="Arial" w:hAnsi="Arial" w:cs="Arial"/>
          <w:sz w:val="24"/>
          <w:szCs w:val="24"/>
        </w:rPr>
        <w:t>Key Findings</w:t>
      </w:r>
    </w:p>
    <w:p w14:paraId="0F1960DD" w14:textId="1C252515" w:rsidR="009E7D90" w:rsidRDefault="004313D0" w:rsidP="00A54AF0">
      <w:pPr>
        <w:spacing w:after="120" w:line="240" w:lineRule="auto"/>
        <w:rPr>
          <w:rFonts w:ascii="Arial" w:hAnsi="Arial" w:cs="Arial"/>
          <w:b/>
          <w:bCs/>
          <w:sz w:val="24"/>
          <w:szCs w:val="24"/>
        </w:rPr>
      </w:pPr>
      <w:r w:rsidRPr="003415FC">
        <w:rPr>
          <w:rFonts w:ascii="Arial" w:hAnsi="Arial" w:cs="Arial"/>
          <w:b/>
          <w:bCs/>
          <w:sz w:val="24"/>
          <w:szCs w:val="24"/>
        </w:rPr>
        <w:t>Background</w:t>
      </w:r>
    </w:p>
    <w:p w14:paraId="08A0ABE0" w14:textId="1471A648" w:rsidR="009569F2" w:rsidRPr="003415FC" w:rsidRDefault="00C7439B" w:rsidP="009A4C7E">
      <w:pPr>
        <w:spacing w:after="120" w:line="240" w:lineRule="auto"/>
        <w:rPr>
          <w:rFonts w:ascii="Arial" w:eastAsia="Times New Roman" w:hAnsi="Arial" w:cs="Arial"/>
          <w:sz w:val="24"/>
          <w:szCs w:val="24"/>
        </w:rPr>
      </w:pPr>
      <w:r w:rsidRPr="003415FC">
        <w:rPr>
          <w:rFonts w:ascii="Arial" w:eastAsia="+mn-ea" w:hAnsi="Arial" w:cs="Arial"/>
          <w:color w:val="000000"/>
          <w:kern w:val="24"/>
          <w:sz w:val="24"/>
          <w:szCs w:val="24"/>
        </w:rPr>
        <w:t xml:space="preserve">The Policy and Program Support Branch (PPSB) under DTSC’s Hazardous Waste Management Program (HWMP) </w:t>
      </w:r>
      <w:r w:rsidR="003B142E" w:rsidRPr="003415FC">
        <w:rPr>
          <w:rFonts w:ascii="Arial" w:eastAsia="+mn-ea" w:hAnsi="Arial" w:cs="Arial"/>
          <w:color w:val="000000"/>
          <w:kern w:val="24"/>
          <w:sz w:val="24"/>
          <w:szCs w:val="24"/>
        </w:rPr>
        <w:t>provide</w:t>
      </w:r>
      <w:r w:rsidR="00947F9B" w:rsidRPr="003415FC">
        <w:rPr>
          <w:rFonts w:ascii="Arial" w:eastAsia="+mn-ea" w:hAnsi="Arial" w:cs="Arial"/>
          <w:color w:val="000000"/>
          <w:kern w:val="24"/>
          <w:sz w:val="24"/>
          <w:szCs w:val="24"/>
        </w:rPr>
        <w:t>s</w:t>
      </w:r>
      <w:r w:rsidR="003B142E" w:rsidRPr="003415FC">
        <w:rPr>
          <w:rFonts w:ascii="Arial" w:eastAsia="+mn-ea" w:hAnsi="Arial" w:cs="Arial"/>
          <w:color w:val="000000"/>
          <w:kern w:val="24"/>
          <w:sz w:val="24"/>
          <w:szCs w:val="24"/>
        </w:rPr>
        <w:t xml:space="preserve"> in-depth policy and regulatory guidance to the public, industry, and government agencies; </w:t>
      </w:r>
      <w:r w:rsidR="003B142E" w:rsidRPr="009A4C7E">
        <w:rPr>
          <w:rFonts w:ascii="Arial" w:eastAsia="+mn-ea" w:hAnsi="Arial" w:cs="Arial"/>
          <w:color w:val="000000"/>
          <w:kern w:val="24"/>
          <w:sz w:val="24"/>
          <w:szCs w:val="24"/>
        </w:rPr>
        <w:t>develop</w:t>
      </w:r>
      <w:r w:rsidR="00BE397F" w:rsidRPr="009A4C7E">
        <w:rPr>
          <w:rFonts w:ascii="Arial" w:eastAsia="+mn-ea" w:hAnsi="Arial" w:cs="Arial"/>
          <w:color w:val="000000"/>
          <w:kern w:val="24"/>
          <w:sz w:val="24"/>
          <w:szCs w:val="24"/>
        </w:rPr>
        <w:t>s</w:t>
      </w:r>
      <w:r w:rsidR="003B142E" w:rsidRPr="009A4C7E">
        <w:rPr>
          <w:rFonts w:ascii="Arial" w:eastAsia="+mn-ea" w:hAnsi="Arial" w:cs="Arial"/>
          <w:color w:val="000000"/>
          <w:kern w:val="24"/>
          <w:sz w:val="24"/>
          <w:szCs w:val="24"/>
        </w:rPr>
        <w:t xml:space="preserve"> and interpret</w:t>
      </w:r>
      <w:r w:rsidR="00BE397F" w:rsidRPr="009A4C7E">
        <w:rPr>
          <w:rFonts w:ascii="Arial" w:eastAsia="+mn-ea" w:hAnsi="Arial" w:cs="Arial"/>
          <w:color w:val="000000"/>
          <w:kern w:val="24"/>
          <w:sz w:val="24"/>
          <w:szCs w:val="24"/>
        </w:rPr>
        <w:t>s</w:t>
      </w:r>
      <w:r w:rsidR="003B142E" w:rsidRPr="009A4C7E">
        <w:rPr>
          <w:rFonts w:ascii="Arial" w:eastAsia="+mn-ea" w:hAnsi="Arial" w:cs="Arial"/>
          <w:color w:val="000000"/>
          <w:kern w:val="24"/>
          <w:sz w:val="24"/>
          <w:szCs w:val="24"/>
        </w:rPr>
        <w:t xml:space="preserve"> hazardous waste management statutes and regulations; and manage</w:t>
      </w:r>
      <w:r w:rsidR="00BE397F" w:rsidRPr="009A4C7E">
        <w:rPr>
          <w:rFonts w:ascii="Arial" w:eastAsia="+mn-ea" w:hAnsi="Arial" w:cs="Arial"/>
          <w:color w:val="000000"/>
          <w:kern w:val="24"/>
          <w:sz w:val="24"/>
          <w:szCs w:val="24"/>
        </w:rPr>
        <w:t>s</w:t>
      </w:r>
      <w:r w:rsidR="003B142E" w:rsidRPr="009A4C7E">
        <w:rPr>
          <w:rFonts w:ascii="Arial" w:eastAsia="+mn-ea" w:hAnsi="Arial" w:cs="Arial"/>
          <w:color w:val="000000"/>
          <w:kern w:val="24"/>
          <w:sz w:val="24"/>
          <w:szCs w:val="24"/>
        </w:rPr>
        <w:t xml:space="preserve"> the </w:t>
      </w:r>
      <w:r w:rsidR="00EF46B3" w:rsidRPr="009A4C7E">
        <w:rPr>
          <w:rFonts w:ascii="Arial" w:eastAsia="+mn-ea" w:hAnsi="Arial" w:cs="Arial"/>
          <w:color w:val="000000"/>
          <w:kern w:val="24"/>
          <w:sz w:val="24"/>
          <w:szCs w:val="24"/>
        </w:rPr>
        <w:t>Resource Conservation and Recovery Act (</w:t>
      </w:r>
      <w:r w:rsidR="003B142E" w:rsidRPr="009A4C7E">
        <w:rPr>
          <w:rFonts w:ascii="Arial" w:eastAsia="+mn-ea" w:hAnsi="Arial" w:cs="Arial"/>
          <w:color w:val="000000"/>
          <w:kern w:val="24"/>
          <w:sz w:val="24"/>
          <w:szCs w:val="24"/>
        </w:rPr>
        <w:t>RCRA</w:t>
      </w:r>
      <w:r w:rsidR="00EF46B3" w:rsidRPr="009A4C7E">
        <w:rPr>
          <w:rFonts w:ascii="Arial" w:eastAsia="+mn-ea" w:hAnsi="Arial" w:cs="Arial"/>
          <w:color w:val="000000"/>
          <w:kern w:val="24"/>
          <w:sz w:val="24"/>
          <w:szCs w:val="24"/>
        </w:rPr>
        <w:t>)</w:t>
      </w:r>
      <w:r w:rsidR="003B142E" w:rsidRPr="009A4C7E">
        <w:rPr>
          <w:rFonts w:ascii="Arial" w:eastAsia="+mn-ea" w:hAnsi="Arial" w:cs="Arial"/>
          <w:color w:val="000000"/>
          <w:kern w:val="24"/>
          <w:sz w:val="24"/>
          <w:szCs w:val="24"/>
        </w:rPr>
        <w:t xml:space="preserve"> Grant</w:t>
      </w:r>
      <w:r w:rsidR="00551EEB" w:rsidRPr="009A4C7E">
        <w:rPr>
          <w:rFonts w:ascii="Arial" w:eastAsia="+mn-ea" w:hAnsi="Arial" w:cs="Arial"/>
          <w:color w:val="000000"/>
          <w:kern w:val="24"/>
          <w:sz w:val="24"/>
          <w:szCs w:val="24"/>
        </w:rPr>
        <w:t xml:space="preserve"> and </w:t>
      </w:r>
      <w:r w:rsidR="00DF4B52">
        <w:rPr>
          <w:rFonts w:ascii="Arial" w:eastAsia="+mn-ea" w:hAnsi="Arial" w:cs="Arial"/>
          <w:color w:val="000000"/>
          <w:kern w:val="24"/>
          <w:sz w:val="24"/>
          <w:szCs w:val="24"/>
        </w:rPr>
        <w:t>DTSC’s status as a RCRA-authorized state</w:t>
      </w:r>
      <w:r w:rsidR="00551EEB" w:rsidRPr="009A4C7E">
        <w:rPr>
          <w:rFonts w:ascii="Arial" w:eastAsia="+mn-ea" w:hAnsi="Arial" w:cs="Arial"/>
          <w:color w:val="000000"/>
          <w:kern w:val="24"/>
          <w:sz w:val="24"/>
          <w:szCs w:val="24"/>
        </w:rPr>
        <w:t xml:space="preserve">. </w:t>
      </w:r>
      <w:r w:rsidR="00EE7A91" w:rsidRPr="003415FC">
        <w:rPr>
          <w:rFonts w:ascii="Arial" w:eastAsia="+mn-ea" w:hAnsi="Arial" w:cs="Arial"/>
          <w:color w:val="000000"/>
          <w:kern w:val="24"/>
          <w:sz w:val="24"/>
          <w:szCs w:val="24"/>
        </w:rPr>
        <w:t>PPSB</w:t>
      </w:r>
      <w:r w:rsidR="00A04598">
        <w:rPr>
          <w:rFonts w:ascii="Arial" w:eastAsia="+mn-ea" w:hAnsi="Arial" w:cs="Arial"/>
          <w:color w:val="000000"/>
          <w:kern w:val="24"/>
          <w:sz w:val="24"/>
          <w:szCs w:val="24"/>
        </w:rPr>
        <w:t xml:space="preserve"> </w:t>
      </w:r>
      <w:r w:rsidR="00551EEB" w:rsidRPr="003415FC">
        <w:rPr>
          <w:rFonts w:ascii="Arial" w:eastAsia="+mn-ea" w:hAnsi="Arial" w:cs="Arial"/>
          <w:color w:val="000000"/>
          <w:kern w:val="24"/>
          <w:sz w:val="24"/>
          <w:szCs w:val="24"/>
        </w:rPr>
        <w:t>provides the regulatory and policy foundation to ensure hazardous waste</w:t>
      </w:r>
      <w:r w:rsidR="00DF4B52">
        <w:rPr>
          <w:rFonts w:ascii="Arial" w:eastAsia="+mn-ea" w:hAnsi="Arial" w:cs="Arial"/>
          <w:color w:val="000000"/>
          <w:kern w:val="24"/>
          <w:sz w:val="24"/>
          <w:szCs w:val="24"/>
        </w:rPr>
        <w:t xml:space="preserve"> handlers and DTSC’s regulatory community have the tools and information they need to manage hazardous wastes legall</w:t>
      </w:r>
      <w:r w:rsidR="00551EEB" w:rsidRPr="003415FC">
        <w:rPr>
          <w:rFonts w:ascii="Arial" w:eastAsia="+mn-ea" w:hAnsi="Arial" w:cs="Arial"/>
          <w:color w:val="000000"/>
          <w:kern w:val="24"/>
          <w:sz w:val="24"/>
          <w:szCs w:val="24"/>
        </w:rPr>
        <w:t xml:space="preserve">y and safely in California.  </w:t>
      </w:r>
    </w:p>
    <w:p w14:paraId="43734256" w14:textId="34C72445" w:rsidR="009A4C7E" w:rsidRDefault="009569F2" w:rsidP="009A4C7E">
      <w:pPr>
        <w:spacing w:after="120" w:line="240" w:lineRule="auto"/>
        <w:rPr>
          <w:rFonts w:ascii="Arial" w:eastAsia="+mn-ea" w:hAnsi="Arial" w:cs="Arial"/>
          <w:color w:val="000000"/>
          <w:kern w:val="24"/>
          <w:sz w:val="24"/>
          <w:szCs w:val="24"/>
        </w:rPr>
      </w:pPr>
      <w:r w:rsidRPr="003415FC">
        <w:rPr>
          <w:rFonts w:ascii="Arial" w:eastAsia="+mn-ea" w:hAnsi="Arial" w:cs="Arial"/>
          <w:color w:val="000000"/>
          <w:kern w:val="24"/>
          <w:sz w:val="24"/>
          <w:szCs w:val="24"/>
        </w:rPr>
        <w:t xml:space="preserve">U.S. EPA delegates the primary responsibility of implementing the RCRA </w:t>
      </w:r>
      <w:r w:rsidR="00DE3C1B" w:rsidRPr="003415FC">
        <w:rPr>
          <w:rFonts w:ascii="Arial" w:eastAsia="+mn-ea" w:hAnsi="Arial" w:cs="Arial"/>
          <w:color w:val="000000"/>
          <w:kern w:val="24"/>
          <w:sz w:val="24"/>
          <w:szCs w:val="24"/>
        </w:rPr>
        <w:t>p</w:t>
      </w:r>
      <w:r w:rsidRPr="003415FC">
        <w:rPr>
          <w:rFonts w:ascii="Arial" w:eastAsia="+mn-ea" w:hAnsi="Arial" w:cs="Arial"/>
          <w:color w:val="000000"/>
          <w:kern w:val="24"/>
          <w:sz w:val="24"/>
          <w:szCs w:val="24"/>
        </w:rPr>
        <w:t>rogram to individual states</w:t>
      </w:r>
      <w:r w:rsidR="00DF4B52">
        <w:rPr>
          <w:rFonts w:ascii="Arial" w:eastAsia="+mn-ea" w:hAnsi="Arial" w:cs="Arial"/>
          <w:color w:val="000000"/>
          <w:kern w:val="24"/>
          <w:sz w:val="24"/>
          <w:szCs w:val="24"/>
        </w:rPr>
        <w:t xml:space="preserve"> to manage</w:t>
      </w:r>
      <w:r w:rsidRPr="003415FC">
        <w:rPr>
          <w:rFonts w:ascii="Arial" w:eastAsia="+mn-ea" w:hAnsi="Arial" w:cs="Arial"/>
          <w:color w:val="000000"/>
          <w:kern w:val="24"/>
          <w:sz w:val="24"/>
          <w:szCs w:val="24"/>
        </w:rPr>
        <w:t xml:space="preserve"> in lieu of the federal government. </w:t>
      </w:r>
      <w:r w:rsidR="00BE397F" w:rsidRPr="003415FC">
        <w:rPr>
          <w:rFonts w:ascii="Arial" w:eastAsia="+mn-ea" w:hAnsi="Arial" w:cs="Arial"/>
          <w:color w:val="000000"/>
          <w:kern w:val="24"/>
          <w:sz w:val="24"/>
          <w:szCs w:val="24"/>
        </w:rPr>
        <w:t xml:space="preserve">This process ensures national consistency and minimum standards while providing flexibility to states implementing hazardous waste rules. </w:t>
      </w:r>
      <w:r w:rsidR="00EA456C" w:rsidRPr="003415FC">
        <w:rPr>
          <w:rFonts w:ascii="Arial" w:eastAsia="+mn-ea" w:hAnsi="Arial" w:cs="Arial"/>
          <w:color w:val="000000"/>
          <w:kern w:val="24"/>
          <w:sz w:val="24"/>
          <w:szCs w:val="24"/>
        </w:rPr>
        <w:t xml:space="preserve">DTSC is responsible for </w:t>
      </w:r>
      <w:r w:rsidR="003D45D3" w:rsidRPr="003415FC">
        <w:rPr>
          <w:rFonts w:ascii="Arial" w:eastAsia="+mn-ea" w:hAnsi="Arial" w:cs="Arial"/>
          <w:color w:val="000000"/>
          <w:kern w:val="24"/>
          <w:sz w:val="24"/>
          <w:szCs w:val="24"/>
        </w:rPr>
        <w:t>obtaining</w:t>
      </w:r>
      <w:r w:rsidR="00EF46B3" w:rsidRPr="003415FC">
        <w:rPr>
          <w:rFonts w:ascii="Arial" w:eastAsia="+mn-ea" w:hAnsi="Arial" w:cs="Arial"/>
          <w:color w:val="000000"/>
          <w:kern w:val="24"/>
          <w:sz w:val="24"/>
          <w:szCs w:val="24"/>
        </w:rPr>
        <w:t xml:space="preserve"> and maintaining authorization from U.S. EPA to administer the RCRA </w:t>
      </w:r>
      <w:r w:rsidR="00DE3C1B" w:rsidRPr="009A4C7E">
        <w:rPr>
          <w:rFonts w:ascii="Arial" w:eastAsia="+mn-ea" w:hAnsi="Arial" w:cs="Arial"/>
          <w:color w:val="000000"/>
          <w:kern w:val="24"/>
          <w:sz w:val="24"/>
          <w:szCs w:val="24"/>
        </w:rPr>
        <w:t>p</w:t>
      </w:r>
      <w:r w:rsidR="00EF46B3" w:rsidRPr="003415FC">
        <w:rPr>
          <w:rFonts w:ascii="Arial" w:eastAsia="+mn-ea" w:hAnsi="Arial" w:cs="Arial"/>
          <w:color w:val="000000"/>
          <w:kern w:val="24"/>
          <w:sz w:val="24"/>
          <w:szCs w:val="24"/>
        </w:rPr>
        <w:t>rogram in California</w:t>
      </w:r>
      <w:r w:rsidR="00D8727D" w:rsidRPr="003415FC">
        <w:rPr>
          <w:rFonts w:ascii="Arial" w:eastAsia="+mn-ea" w:hAnsi="Arial" w:cs="Arial"/>
          <w:color w:val="000000"/>
          <w:kern w:val="24"/>
          <w:sz w:val="24"/>
          <w:szCs w:val="24"/>
        </w:rPr>
        <w:t xml:space="preserve">. PPSB manages the RCRA authorization process by ensuring </w:t>
      </w:r>
      <w:r w:rsidR="00674A85" w:rsidRPr="003415FC">
        <w:rPr>
          <w:rFonts w:ascii="Arial" w:eastAsia="+mn-ea" w:hAnsi="Arial" w:cs="Arial"/>
          <w:color w:val="000000"/>
          <w:kern w:val="24"/>
          <w:sz w:val="24"/>
          <w:szCs w:val="24"/>
        </w:rPr>
        <w:t xml:space="preserve">the </w:t>
      </w:r>
      <w:r w:rsidR="00D8727D" w:rsidRPr="003415FC">
        <w:rPr>
          <w:rFonts w:ascii="Arial" w:eastAsia="+mn-ea" w:hAnsi="Arial" w:cs="Arial"/>
          <w:color w:val="000000"/>
          <w:kern w:val="24"/>
          <w:sz w:val="24"/>
          <w:szCs w:val="24"/>
        </w:rPr>
        <w:t>state</w:t>
      </w:r>
      <w:r w:rsidR="00DE3C1B" w:rsidRPr="003415FC">
        <w:rPr>
          <w:rFonts w:ascii="Arial" w:eastAsia="+mn-ea" w:hAnsi="Arial" w:cs="Arial"/>
          <w:color w:val="000000"/>
          <w:kern w:val="24"/>
          <w:sz w:val="24"/>
          <w:szCs w:val="24"/>
        </w:rPr>
        <w:t>’s</w:t>
      </w:r>
      <w:r w:rsidR="00D8727D" w:rsidRPr="003415FC">
        <w:rPr>
          <w:rFonts w:ascii="Arial" w:eastAsia="+mn-ea" w:hAnsi="Arial" w:cs="Arial"/>
          <w:color w:val="000000"/>
          <w:kern w:val="24"/>
          <w:sz w:val="24"/>
          <w:szCs w:val="24"/>
        </w:rPr>
        <w:t xml:space="preserve"> hazardous waste </w:t>
      </w:r>
      <w:r w:rsidR="00DE3C1B" w:rsidRPr="003415FC">
        <w:rPr>
          <w:rFonts w:ascii="Arial" w:eastAsia="+mn-ea" w:hAnsi="Arial" w:cs="Arial"/>
          <w:color w:val="000000"/>
          <w:kern w:val="24"/>
          <w:sz w:val="24"/>
          <w:szCs w:val="24"/>
        </w:rPr>
        <w:t xml:space="preserve">management </w:t>
      </w:r>
      <w:r w:rsidR="003D45D3" w:rsidRPr="003415FC">
        <w:rPr>
          <w:rFonts w:ascii="Arial" w:eastAsia="+mn-ea" w:hAnsi="Arial" w:cs="Arial"/>
          <w:color w:val="000000"/>
          <w:kern w:val="24"/>
          <w:sz w:val="24"/>
          <w:szCs w:val="24"/>
        </w:rPr>
        <w:t>program is</w:t>
      </w:r>
      <w:r w:rsidR="00D8727D" w:rsidRPr="003415FC">
        <w:rPr>
          <w:rFonts w:ascii="Arial" w:eastAsia="+mn-ea" w:hAnsi="Arial" w:cs="Arial"/>
          <w:color w:val="000000"/>
          <w:kern w:val="24"/>
          <w:sz w:val="24"/>
          <w:szCs w:val="24"/>
        </w:rPr>
        <w:t xml:space="preserve"> equivalent </w:t>
      </w:r>
      <w:r w:rsidR="003D45D3" w:rsidRPr="003415FC">
        <w:rPr>
          <w:rFonts w:ascii="Arial" w:eastAsia="+mn-ea" w:hAnsi="Arial" w:cs="Arial"/>
          <w:color w:val="000000"/>
          <w:kern w:val="24"/>
          <w:sz w:val="24"/>
          <w:szCs w:val="24"/>
        </w:rPr>
        <w:t>to</w:t>
      </w:r>
      <w:r w:rsidR="0087556A" w:rsidRPr="009A4C7E">
        <w:rPr>
          <w:rFonts w:ascii="Arial" w:eastAsia="+mn-ea" w:hAnsi="Arial" w:cs="Arial"/>
          <w:color w:val="000000"/>
          <w:kern w:val="24"/>
          <w:sz w:val="24"/>
          <w:szCs w:val="24"/>
        </w:rPr>
        <w:t xml:space="preserve">, or </w:t>
      </w:r>
      <w:r w:rsidR="00840986" w:rsidRPr="009A4C7E">
        <w:rPr>
          <w:rFonts w:ascii="Arial" w:eastAsia="+mn-ea" w:hAnsi="Arial" w:cs="Arial"/>
          <w:color w:val="000000"/>
          <w:kern w:val="24"/>
          <w:sz w:val="24"/>
          <w:szCs w:val="24"/>
        </w:rPr>
        <w:t>is more stringent than</w:t>
      </w:r>
      <w:r w:rsidR="00840986" w:rsidRPr="003415FC">
        <w:rPr>
          <w:rFonts w:ascii="Arial" w:eastAsia="+mn-ea" w:hAnsi="Arial" w:cs="Arial"/>
          <w:color w:val="000000"/>
          <w:kern w:val="24"/>
          <w:sz w:val="24"/>
          <w:szCs w:val="24"/>
        </w:rPr>
        <w:t>, the</w:t>
      </w:r>
      <w:r w:rsidR="0087556A" w:rsidRPr="003415FC">
        <w:rPr>
          <w:rFonts w:ascii="Arial" w:eastAsia="+mn-ea" w:hAnsi="Arial" w:cs="Arial"/>
          <w:color w:val="000000"/>
          <w:kern w:val="24"/>
          <w:sz w:val="24"/>
          <w:szCs w:val="24"/>
        </w:rPr>
        <w:t xml:space="preserve"> laws adopted under </w:t>
      </w:r>
      <w:r w:rsidR="0087556A" w:rsidRPr="009A4C7E">
        <w:rPr>
          <w:rFonts w:ascii="Arial" w:eastAsia="+mn-ea" w:hAnsi="Arial" w:cs="Arial"/>
          <w:color w:val="000000"/>
          <w:kern w:val="24"/>
          <w:sz w:val="24"/>
          <w:szCs w:val="24"/>
        </w:rPr>
        <w:t xml:space="preserve">RCRA. </w:t>
      </w:r>
      <w:r w:rsidR="00D8727D" w:rsidRPr="009A4C7E">
        <w:rPr>
          <w:rFonts w:ascii="Arial" w:eastAsia="+mn-ea" w:hAnsi="Arial" w:cs="Arial"/>
          <w:color w:val="000000"/>
          <w:kern w:val="24"/>
          <w:sz w:val="24"/>
          <w:szCs w:val="24"/>
        </w:rPr>
        <w:t xml:space="preserve"> </w:t>
      </w:r>
    </w:p>
    <w:p w14:paraId="23D91E17" w14:textId="16C923B8" w:rsidR="00475A8C" w:rsidRDefault="00DF4B52" w:rsidP="00475A8C">
      <w:pPr>
        <w:spacing w:after="120" w:line="240" w:lineRule="auto"/>
        <w:rPr>
          <w:rFonts w:ascii="Arial" w:eastAsia="+mn-ea" w:hAnsi="Arial" w:cs="Arial"/>
          <w:color w:val="000000"/>
          <w:kern w:val="24"/>
          <w:sz w:val="24"/>
          <w:szCs w:val="24"/>
        </w:rPr>
      </w:pPr>
      <w:r>
        <w:rPr>
          <w:rFonts w:ascii="Arial" w:eastAsia="+mn-ea" w:hAnsi="Arial" w:cs="Arial"/>
          <w:color w:val="000000"/>
          <w:kern w:val="24"/>
          <w:sz w:val="24"/>
          <w:szCs w:val="24"/>
        </w:rPr>
        <w:t>The work in PPSB  has been impacted by staff redirections to other activities.  For example, i</w:t>
      </w:r>
      <w:r w:rsidR="00475A8C" w:rsidRPr="00475A8C">
        <w:rPr>
          <w:rFonts w:ascii="Arial" w:eastAsia="+mn-ea" w:hAnsi="Arial" w:cs="Arial"/>
          <w:color w:val="000000"/>
          <w:kern w:val="24"/>
          <w:sz w:val="24"/>
          <w:szCs w:val="24"/>
        </w:rPr>
        <w:t xml:space="preserve">n 2007, a department-wide realignment of workload and </w:t>
      </w:r>
      <w:r w:rsidR="00475A8C">
        <w:rPr>
          <w:rFonts w:ascii="Arial" w:eastAsia="+mn-ea" w:hAnsi="Arial" w:cs="Arial"/>
          <w:color w:val="000000"/>
          <w:kern w:val="24"/>
          <w:sz w:val="24"/>
          <w:szCs w:val="24"/>
        </w:rPr>
        <w:t xml:space="preserve">a </w:t>
      </w:r>
      <w:r w:rsidR="00475A8C" w:rsidRPr="00475A8C">
        <w:rPr>
          <w:rFonts w:ascii="Arial" w:eastAsia="+mn-ea" w:hAnsi="Arial" w:cs="Arial"/>
          <w:color w:val="000000"/>
          <w:kern w:val="24"/>
          <w:sz w:val="24"/>
          <w:szCs w:val="24"/>
        </w:rPr>
        <w:t xml:space="preserve">shift in priorities resulted in the redirection of staff and elimination of the Administration and Grants Management unit under the former Regulatory and Program Development Division in HWMP. This unit was responsible for obtaining RCRA authorization for new federal RCRA laws and managing the RCRA grant. </w:t>
      </w:r>
    </w:p>
    <w:p w14:paraId="120F2594" w14:textId="5293FBEF" w:rsidR="0065115E" w:rsidRPr="00475A8C" w:rsidRDefault="0065115E" w:rsidP="00475A8C">
      <w:pPr>
        <w:spacing w:after="120" w:line="240" w:lineRule="auto"/>
        <w:rPr>
          <w:rFonts w:ascii="Arial" w:eastAsia="+mn-ea" w:hAnsi="Arial" w:cs="Arial"/>
          <w:color w:val="000000"/>
          <w:kern w:val="24"/>
          <w:sz w:val="24"/>
          <w:szCs w:val="24"/>
        </w:rPr>
      </w:pPr>
      <w:r>
        <w:rPr>
          <w:rFonts w:ascii="Arial" w:eastAsia="+mn-ea" w:hAnsi="Arial" w:cs="Arial"/>
          <w:color w:val="000000"/>
          <w:kern w:val="24"/>
          <w:sz w:val="24"/>
          <w:szCs w:val="24"/>
        </w:rPr>
        <w:t xml:space="preserve">The Hazardous Waste Reduction, Recycling, and Treatment Research and Demonstration Act of 1985 and Hazardous Waste Source Reduction and Management Review Acts of 1989 provided the framework for DTSC’s Pollution Prevention (P2) </w:t>
      </w:r>
      <w:r w:rsidR="00F73E6D">
        <w:rPr>
          <w:rFonts w:ascii="Arial" w:eastAsia="+mn-ea" w:hAnsi="Arial" w:cs="Arial"/>
          <w:color w:val="000000"/>
          <w:kern w:val="24"/>
          <w:sz w:val="24"/>
          <w:szCs w:val="24"/>
        </w:rPr>
        <w:t>p</w:t>
      </w:r>
      <w:r>
        <w:rPr>
          <w:rFonts w:ascii="Arial" w:eastAsia="+mn-ea" w:hAnsi="Arial" w:cs="Arial"/>
          <w:color w:val="000000"/>
          <w:kern w:val="24"/>
          <w:sz w:val="24"/>
          <w:szCs w:val="24"/>
        </w:rPr>
        <w:t>rogram. The statutes required DTSC to establish a technical and research assistance program to assist generators with identifying and applying methods of source reduction and other hazardous waste management strategies. Realignments of workload and strategic priority shifts resulted in the elimination of this program</w:t>
      </w:r>
      <w:r w:rsidR="003415FC">
        <w:rPr>
          <w:rFonts w:ascii="Arial" w:eastAsia="+mn-ea" w:hAnsi="Arial" w:cs="Arial"/>
          <w:color w:val="000000"/>
          <w:kern w:val="24"/>
          <w:sz w:val="24"/>
          <w:szCs w:val="24"/>
        </w:rPr>
        <w:t xml:space="preserve"> </w:t>
      </w:r>
      <w:r w:rsidR="003415FC" w:rsidRPr="00440A6B">
        <w:rPr>
          <w:rFonts w:ascii="Arial" w:eastAsia="+mn-ea" w:hAnsi="Arial" w:cs="Arial"/>
          <w:color w:val="000000"/>
          <w:kern w:val="24"/>
          <w:sz w:val="24"/>
          <w:szCs w:val="24"/>
        </w:rPr>
        <w:t>in 2013.</w:t>
      </w:r>
      <w:r>
        <w:rPr>
          <w:rFonts w:ascii="Arial" w:eastAsia="+mn-ea" w:hAnsi="Arial" w:cs="Arial"/>
          <w:color w:val="000000"/>
          <w:kern w:val="24"/>
          <w:sz w:val="24"/>
          <w:szCs w:val="24"/>
        </w:rPr>
        <w:t xml:space="preserve"> </w:t>
      </w:r>
    </w:p>
    <w:p w14:paraId="66A3FB01" w14:textId="77777777" w:rsidR="004B35F1" w:rsidRPr="003415FC" w:rsidRDefault="004B35F1" w:rsidP="009A4C7E">
      <w:pPr>
        <w:spacing w:after="120" w:line="240" w:lineRule="auto"/>
        <w:rPr>
          <w:rFonts w:ascii="Arial" w:hAnsi="Arial" w:cs="Arial"/>
          <w:b/>
          <w:bCs/>
          <w:sz w:val="24"/>
          <w:szCs w:val="24"/>
        </w:rPr>
      </w:pPr>
    </w:p>
    <w:p w14:paraId="6C32C117" w14:textId="39A9BFBB" w:rsidR="00F064D9" w:rsidRPr="003415FC" w:rsidRDefault="00F064D9" w:rsidP="009A4C7E">
      <w:pPr>
        <w:spacing w:after="120" w:line="240" w:lineRule="auto"/>
        <w:rPr>
          <w:rFonts w:ascii="Arial" w:hAnsi="Arial" w:cs="Arial"/>
          <w:b/>
          <w:bCs/>
          <w:sz w:val="24"/>
          <w:szCs w:val="24"/>
        </w:rPr>
      </w:pPr>
      <w:r w:rsidRPr="003415FC">
        <w:rPr>
          <w:rFonts w:ascii="Arial" w:hAnsi="Arial" w:cs="Arial"/>
          <w:b/>
          <w:bCs/>
          <w:sz w:val="24"/>
          <w:szCs w:val="24"/>
        </w:rPr>
        <w:t>Analysis</w:t>
      </w:r>
    </w:p>
    <w:p w14:paraId="61A3009C" w14:textId="2F5E6A32" w:rsidR="00E12E80" w:rsidRPr="00450002" w:rsidRDefault="00F064D9" w:rsidP="00450002">
      <w:pPr>
        <w:spacing w:after="120" w:line="240" w:lineRule="auto"/>
        <w:rPr>
          <w:rFonts w:ascii="Arial" w:eastAsia="+mn-ea" w:hAnsi="Arial" w:cs="Arial"/>
          <w:sz w:val="24"/>
          <w:szCs w:val="24"/>
        </w:rPr>
      </w:pPr>
      <w:r w:rsidRPr="00450002">
        <w:rPr>
          <w:rFonts w:ascii="Arial" w:eastAsia="+mn-ea" w:hAnsi="Arial" w:cs="Arial"/>
          <w:color w:val="000000"/>
          <w:kern w:val="24"/>
          <w:sz w:val="24"/>
          <w:szCs w:val="24"/>
        </w:rPr>
        <w:t>In FY 2018-19, PPSB ha</w:t>
      </w:r>
      <w:r w:rsidR="00674A85" w:rsidRPr="00450002">
        <w:rPr>
          <w:rFonts w:ascii="Arial" w:eastAsia="+mn-ea" w:hAnsi="Arial" w:cs="Arial"/>
          <w:color w:val="000000"/>
          <w:kern w:val="24"/>
          <w:sz w:val="24"/>
          <w:szCs w:val="24"/>
        </w:rPr>
        <w:t>d</w:t>
      </w:r>
      <w:r w:rsidRPr="00450002">
        <w:rPr>
          <w:rFonts w:ascii="Arial" w:eastAsia="+mn-ea" w:hAnsi="Arial" w:cs="Arial"/>
          <w:color w:val="000000"/>
          <w:kern w:val="24"/>
          <w:sz w:val="24"/>
          <w:szCs w:val="24"/>
        </w:rPr>
        <w:t xml:space="preserve"> </w:t>
      </w:r>
      <w:r w:rsidR="00DF4B52">
        <w:rPr>
          <w:rFonts w:ascii="Arial" w:eastAsia="+mn-ea" w:hAnsi="Arial" w:cs="Arial"/>
          <w:color w:val="000000"/>
          <w:kern w:val="24"/>
          <w:sz w:val="24"/>
          <w:szCs w:val="24"/>
        </w:rPr>
        <w:t>32.5</w:t>
      </w:r>
      <w:r w:rsidR="00DF4B52">
        <w:rPr>
          <w:rStyle w:val="FootnoteReference"/>
          <w:rFonts w:ascii="Arial" w:eastAsia="+mn-ea" w:hAnsi="Arial" w:cs="Arial"/>
          <w:color w:val="000000"/>
          <w:kern w:val="24"/>
          <w:sz w:val="24"/>
          <w:szCs w:val="24"/>
        </w:rPr>
        <w:footnoteReference w:id="2"/>
      </w:r>
      <w:r w:rsidRPr="00450002">
        <w:rPr>
          <w:rFonts w:ascii="Arial" w:eastAsia="+mn-ea" w:hAnsi="Arial" w:cs="Arial"/>
          <w:color w:val="000000"/>
          <w:kern w:val="24"/>
          <w:sz w:val="24"/>
          <w:szCs w:val="24"/>
        </w:rPr>
        <w:t xml:space="preserve"> positions</w:t>
      </w:r>
      <w:r w:rsidR="00AA5B4C" w:rsidRPr="00450002">
        <w:rPr>
          <w:rFonts w:ascii="Arial" w:eastAsia="+mn-ea" w:hAnsi="Arial" w:cs="Arial"/>
          <w:color w:val="000000"/>
          <w:kern w:val="24"/>
          <w:sz w:val="24"/>
          <w:szCs w:val="24"/>
        </w:rPr>
        <w:t xml:space="preserve"> and operated with a budget of </w:t>
      </w:r>
      <w:r w:rsidR="00DF4B52">
        <w:rPr>
          <w:rFonts w:ascii="Arial" w:eastAsia="+mn-ea" w:hAnsi="Arial" w:cs="Arial"/>
          <w:color w:val="000000"/>
          <w:kern w:val="24"/>
          <w:sz w:val="24"/>
          <w:szCs w:val="24"/>
        </w:rPr>
        <w:t xml:space="preserve">approximately </w:t>
      </w:r>
      <w:r w:rsidR="00AA5B4C" w:rsidRPr="00450002">
        <w:rPr>
          <w:rFonts w:ascii="Arial" w:eastAsia="+mn-ea" w:hAnsi="Arial" w:cs="Arial"/>
          <w:color w:val="000000"/>
          <w:kern w:val="24"/>
          <w:sz w:val="24"/>
          <w:szCs w:val="24"/>
        </w:rPr>
        <w:t>$</w:t>
      </w:r>
      <w:r w:rsidR="00DF4B52">
        <w:rPr>
          <w:rFonts w:ascii="Arial" w:eastAsia="+mn-ea" w:hAnsi="Arial" w:cs="Arial"/>
          <w:color w:val="000000"/>
          <w:kern w:val="24"/>
          <w:sz w:val="24"/>
          <w:szCs w:val="24"/>
        </w:rPr>
        <w:t>5</w:t>
      </w:r>
      <w:r w:rsidR="00AA5B4C" w:rsidRPr="00450002">
        <w:rPr>
          <w:rFonts w:ascii="Arial" w:eastAsia="+mn-ea" w:hAnsi="Arial" w:cs="Arial"/>
          <w:color w:val="000000"/>
          <w:kern w:val="24"/>
          <w:sz w:val="24"/>
          <w:szCs w:val="24"/>
        </w:rPr>
        <w:t xml:space="preserve"> million</w:t>
      </w:r>
      <w:r w:rsidRPr="00450002">
        <w:rPr>
          <w:rFonts w:ascii="Arial" w:eastAsia="+mn-ea" w:hAnsi="Arial" w:cs="Arial"/>
          <w:color w:val="000000"/>
          <w:kern w:val="24"/>
          <w:sz w:val="24"/>
          <w:szCs w:val="24"/>
        </w:rPr>
        <w:t xml:space="preserve">. Eighty percent of staff </w:t>
      </w:r>
      <w:r w:rsidR="00C445A7" w:rsidRPr="00450002">
        <w:rPr>
          <w:rFonts w:ascii="Arial" w:eastAsia="+mn-ea" w:hAnsi="Arial" w:cs="Arial"/>
          <w:color w:val="000000"/>
          <w:kern w:val="24"/>
          <w:sz w:val="24"/>
          <w:szCs w:val="24"/>
        </w:rPr>
        <w:t>were</w:t>
      </w:r>
      <w:r w:rsidR="003415FC" w:rsidRPr="00450002">
        <w:rPr>
          <w:rFonts w:ascii="Arial" w:eastAsia="+mn-ea" w:hAnsi="Arial" w:cs="Arial"/>
          <w:color w:val="000000"/>
          <w:kern w:val="24"/>
          <w:sz w:val="24"/>
          <w:szCs w:val="24"/>
        </w:rPr>
        <w:t xml:space="preserve"> </w:t>
      </w:r>
      <w:r w:rsidRPr="00450002">
        <w:rPr>
          <w:rFonts w:ascii="Arial" w:eastAsia="+mn-ea" w:hAnsi="Arial" w:cs="Arial"/>
          <w:color w:val="000000"/>
          <w:kern w:val="24"/>
          <w:sz w:val="24"/>
          <w:szCs w:val="24"/>
        </w:rPr>
        <w:t>scientists and engineers.</w:t>
      </w:r>
      <w:r w:rsidR="00AF118A" w:rsidRPr="00450002">
        <w:rPr>
          <w:rFonts w:ascii="Arial" w:hAnsi="Arial" w:cs="Arial"/>
          <w:sz w:val="24"/>
          <w:szCs w:val="24"/>
        </w:rPr>
        <w:t xml:space="preserve"> </w:t>
      </w:r>
      <w:r w:rsidR="00A83525" w:rsidRPr="00450002">
        <w:rPr>
          <w:rFonts w:ascii="Arial" w:hAnsi="Arial" w:cs="Arial"/>
          <w:sz w:val="24"/>
          <w:szCs w:val="24"/>
        </w:rPr>
        <w:t xml:space="preserve">PPSB analysts and </w:t>
      </w:r>
      <w:r w:rsidR="002A7C79" w:rsidRPr="00450002">
        <w:rPr>
          <w:rFonts w:ascii="Arial" w:hAnsi="Arial" w:cs="Arial"/>
          <w:sz w:val="24"/>
          <w:szCs w:val="24"/>
        </w:rPr>
        <w:t>professional</w:t>
      </w:r>
      <w:r w:rsidR="00F93225" w:rsidRPr="00450002">
        <w:rPr>
          <w:rFonts w:ascii="Arial" w:hAnsi="Arial" w:cs="Arial"/>
          <w:sz w:val="24"/>
          <w:szCs w:val="24"/>
        </w:rPr>
        <w:t xml:space="preserve"> </w:t>
      </w:r>
      <w:r w:rsidR="00A83525" w:rsidRPr="00450002">
        <w:rPr>
          <w:rFonts w:ascii="Arial" w:hAnsi="Arial" w:cs="Arial"/>
          <w:sz w:val="24"/>
          <w:szCs w:val="24"/>
        </w:rPr>
        <w:t>administrative staff</w:t>
      </w:r>
      <w:r w:rsidR="00FE3907" w:rsidRPr="00450002">
        <w:rPr>
          <w:rFonts w:ascii="Arial" w:hAnsi="Arial" w:cs="Arial"/>
          <w:sz w:val="24"/>
          <w:szCs w:val="24"/>
        </w:rPr>
        <w:t xml:space="preserve"> fill</w:t>
      </w:r>
      <w:r w:rsidR="002A7C79" w:rsidRPr="00450002">
        <w:rPr>
          <w:rFonts w:ascii="Arial" w:hAnsi="Arial" w:cs="Arial"/>
          <w:sz w:val="24"/>
          <w:szCs w:val="24"/>
        </w:rPr>
        <w:t>ed</w:t>
      </w:r>
      <w:r w:rsidR="00DE52E1">
        <w:rPr>
          <w:rFonts w:ascii="Arial" w:hAnsi="Arial" w:cs="Arial"/>
          <w:sz w:val="24"/>
          <w:szCs w:val="24"/>
        </w:rPr>
        <w:t xml:space="preserve"> the remaining </w:t>
      </w:r>
      <w:r w:rsidR="00D01FA0">
        <w:rPr>
          <w:rFonts w:ascii="Arial" w:hAnsi="Arial" w:cs="Arial"/>
          <w:sz w:val="24"/>
          <w:szCs w:val="24"/>
        </w:rPr>
        <w:t xml:space="preserve">20 </w:t>
      </w:r>
      <w:r w:rsidR="00D55ACC">
        <w:rPr>
          <w:rFonts w:ascii="Arial" w:hAnsi="Arial" w:cs="Arial"/>
          <w:sz w:val="24"/>
          <w:szCs w:val="24"/>
        </w:rPr>
        <w:t>percent</w:t>
      </w:r>
      <w:r w:rsidR="00FE3907" w:rsidRPr="00450002">
        <w:rPr>
          <w:rFonts w:ascii="Arial" w:hAnsi="Arial" w:cs="Arial"/>
          <w:sz w:val="24"/>
          <w:szCs w:val="24"/>
        </w:rPr>
        <w:t xml:space="preserve"> of the positions and </w:t>
      </w:r>
      <w:r w:rsidR="00FE3907" w:rsidRPr="00FE3907">
        <w:rPr>
          <w:rFonts w:ascii="Arial" w:hAnsi="Arial" w:cs="Arial"/>
          <w:sz w:val="24"/>
          <w:szCs w:val="24"/>
        </w:rPr>
        <w:t>complete</w:t>
      </w:r>
      <w:r w:rsidR="002A7C79" w:rsidRPr="00450002">
        <w:rPr>
          <w:rFonts w:ascii="Arial" w:hAnsi="Arial" w:cs="Arial"/>
          <w:sz w:val="24"/>
          <w:szCs w:val="24"/>
        </w:rPr>
        <w:t>d</w:t>
      </w:r>
      <w:r w:rsidR="00FE3907" w:rsidRPr="00FE3907">
        <w:rPr>
          <w:rFonts w:ascii="Arial" w:hAnsi="Arial" w:cs="Arial"/>
          <w:sz w:val="24"/>
          <w:szCs w:val="24"/>
        </w:rPr>
        <w:t xml:space="preserve"> crucial activities </w:t>
      </w:r>
      <w:r w:rsidR="00F517CA" w:rsidRPr="00450002">
        <w:rPr>
          <w:rFonts w:ascii="Arial" w:hAnsi="Arial" w:cs="Arial"/>
          <w:sz w:val="24"/>
          <w:szCs w:val="24"/>
        </w:rPr>
        <w:t>such as</w:t>
      </w:r>
      <w:r w:rsidR="002A7C79" w:rsidRPr="00450002">
        <w:rPr>
          <w:rFonts w:ascii="Arial" w:hAnsi="Arial" w:cs="Arial"/>
          <w:sz w:val="24"/>
          <w:szCs w:val="24"/>
        </w:rPr>
        <w:t xml:space="preserve"> </w:t>
      </w:r>
      <w:r w:rsidR="00FE3907" w:rsidRPr="00FE3907">
        <w:rPr>
          <w:rFonts w:ascii="Arial" w:hAnsi="Arial" w:cs="Arial"/>
          <w:sz w:val="24"/>
          <w:szCs w:val="24"/>
        </w:rPr>
        <w:t>RCRA grant</w:t>
      </w:r>
      <w:r w:rsidR="006B0F51" w:rsidRPr="00450002">
        <w:rPr>
          <w:rFonts w:ascii="Arial" w:hAnsi="Arial" w:cs="Arial"/>
          <w:sz w:val="24"/>
          <w:szCs w:val="24"/>
        </w:rPr>
        <w:t xml:space="preserve"> management</w:t>
      </w:r>
      <w:r w:rsidR="002A7C79" w:rsidRPr="00450002">
        <w:rPr>
          <w:rFonts w:ascii="Arial" w:hAnsi="Arial" w:cs="Arial"/>
          <w:sz w:val="24"/>
          <w:szCs w:val="24"/>
        </w:rPr>
        <w:t>,</w:t>
      </w:r>
      <w:r w:rsidR="006B0F51" w:rsidRPr="00450002">
        <w:rPr>
          <w:rFonts w:ascii="Arial" w:hAnsi="Arial" w:cs="Arial"/>
          <w:sz w:val="24"/>
          <w:szCs w:val="24"/>
        </w:rPr>
        <w:t xml:space="preserve"> budget tracking,</w:t>
      </w:r>
      <w:r w:rsidR="00F517CA" w:rsidRPr="00450002">
        <w:rPr>
          <w:rFonts w:ascii="Arial" w:hAnsi="Arial" w:cs="Arial"/>
          <w:sz w:val="24"/>
          <w:szCs w:val="24"/>
        </w:rPr>
        <w:t xml:space="preserve"> e-waste program</w:t>
      </w:r>
      <w:r w:rsidR="006B0F51" w:rsidRPr="00450002">
        <w:rPr>
          <w:rFonts w:ascii="Arial" w:hAnsi="Arial" w:cs="Arial"/>
          <w:sz w:val="24"/>
          <w:szCs w:val="24"/>
        </w:rPr>
        <w:t>, and personnel hiring management.</w:t>
      </w:r>
      <w:r w:rsidR="00F517CA" w:rsidRPr="00450002">
        <w:rPr>
          <w:rFonts w:ascii="Arial" w:hAnsi="Arial" w:cs="Arial"/>
          <w:sz w:val="24"/>
          <w:szCs w:val="24"/>
        </w:rPr>
        <w:t xml:space="preserve"> </w:t>
      </w:r>
      <w:r w:rsidR="00D67C0D">
        <w:rPr>
          <w:rFonts w:ascii="Arial" w:hAnsi="Arial" w:cs="Arial"/>
          <w:sz w:val="24"/>
          <w:szCs w:val="24"/>
        </w:rPr>
        <w:t xml:space="preserve">Sixty-one percent of PPSB available employee hours were spent on regulatory development, RCRA grant management, and technical projects.  The remainder of time was spent on mission-critical administrative </w:t>
      </w:r>
      <w:r w:rsidR="00D67C0D">
        <w:rPr>
          <w:rFonts w:ascii="Arial" w:hAnsi="Arial" w:cs="Arial"/>
          <w:sz w:val="24"/>
          <w:szCs w:val="24"/>
        </w:rPr>
        <w:lastRenderedPageBreak/>
        <w:t xml:space="preserve">activities such as budget analysis, contracts management, data analysis, web content management, and administrative training.  </w:t>
      </w:r>
    </w:p>
    <w:p w14:paraId="61EA1D64" w14:textId="77777777" w:rsidR="00CD47F4" w:rsidRPr="00CD47F4" w:rsidRDefault="00CD47F4" w:rsidP="00CD47F4">
      <w:pPr>
        <w:spacing w:after="120" w:line="240" w:lineRule="auto"/>
        <w:rPr>
          <w:rFonts w:ascii="Arial" w:hAnsi="Arial" w:cs="Arial"/>
          <w:sz w:val="24"/>
          <w:szCs w:val="24"/>
        </w:rPr>
      </w:pPr>
      <w:r w:rsidRPr="00CD47F4">
        <w:rPr>
          <w:rFonts w:ascii="Arial" w:hAnsi="Arial" w:cs="Arial"/>
          <w:sz w:val="24"/>
          <w:szCs w:val="24"/>
        </w:rPr>
        <w:t xml:space="preserve">PPSB implemented process improvements to increase efficiencies and the use of current resources by decreasing the response time for requests from local government, industry, and the public. Other process improvements initiatives successfully led to streamlining administrative application review processes resulting in shorter response times to approve applications. </w:t>
      </w:r>
    </w:p>
    <w:p w14:paraId="66FD4C84" w14:textId="6810BCBE" w:rsidR="00674A85" w:rsidRPr="009A4C7E" w:rsidRDefault="00674A85" w:rsidP="009A4C7E">
      <w:pPr>
        <w:spacing w:after="120" w:line="240" w:lineRule="auto"/>
        <w:rPr>
          <w:rFonts w:ascii="Arial" w:hAnsi="Arial" w:cs="Arial"/>
          <w:sz w:val="24"/>
          <w:szCs w:val="24"/>
        </w:rPr>
      </w:pPr>
      <w:r w:rsidRPr="003415FC">
        <w:rPr>
          <w:rFonts w:ascii="Arial" w:hAnsi="Arial" w:cs="Arial"/>
          <w:sz w:val="24"/>
          <w:szCs w:val="24"/>
        </w:rPr>
        <w:t>As of February 2020, PPSB is required by legislative mandate to obtain authorization for 37 RCRA rules to maintain California’s authorization to administer RCRA. U.S</w:t>
      </w:r>
      <w:r w:rsidR="00BE397F" w:rsidRPr="003415FC">
        <w:rPr>
          <w:rFonts w:ascii="Arial" w:hAnsi="Arial" w:cs="Arial"/>
          <w:sz w:val="24"/>
          <w:szCs w:val="24"/>
        </w:rPr>
        <w:t>.</w:t>
      </w:r>
      <w:r w:rsidRPr="003415FC">
        <w:rPr>
          <w:rFonts w:ascii="Arial" w:hAnsi="Arial" w:cs="Arial"/>
          <w:sz w:val="24"/>
          <w:szCs w:val="24"/>
        </w:rPr>
        <w:t xml:space="preserve"> EPA set a deadline for DTSC to obtain authorization for 10 core RCRA rules by September 2022. With only </w:t>
      </w:r>
      <w:r w:rsidR="007861A7" w:rsidRPr="003415FC">
        <w:rPr>
          <w:rFonts w:ascii="Arial" w:hAnsi="Arial" w:cs="Arial"/>
          <w:sz w:val="24"/>
          <w:szCs w:val="24"/>
        </w:rPr>
        <w:t>two</w:t>
      </w:r>
      <w:r w:rsidRPr="003415FC">
        <w:rPr>
          <w:rFonts w:ascii="Arial" w:hAnsi="Arial" w:cs="Arial"/>
          <w:sz w:val="24"/>
          <w:szCs w:val="24"/>
        </w:rPr>
        <w:t xml:space="preserve"> </w:t>
      </w:r>
      <w:r w:rsidR="001B5FAF" w:rsidRPr="009A4C7E">
        <w:rPr>
          <w:rFonts w:ascii="Arial" w:hAnsi="Arial" w:cs="Arial"/>
          <w:sz w:val="24"/>
          <w:szCs w:val="24"/>
        </w:rPr>
        <w:t xml:space="preserve">staff </w:t>
      </w:r>
      <w:r w:rsidR="00DF4B52">
        <w:rPr>
          <w:rFonts w:ascii="Arial" w:hAnsi="Arial" w:cs="Arial"/>
          <w:sz w:val="24"/>
          <w:szCs w:val="24"/>
        </w:rPr>
        <w:t>currently available for</w:t>
      </w:r>
      <w:r w:rsidR="00D67C0D">
        <w:rPr>
          <w:rFonts w:ascii="Arial" w:hAnsi="Arial" w:cs="Arial"/>
          <w:sz w:val="24"/>
          <w:szCs w:val="24"/>
        </w:rPr>
        <w:t xml:space="preserve"> </w:t>
      </w:r>
      <w:r w:rsidRPr="003415FC">
        <w:rPr>
          <w:rFonts w:ascii="Arial" w:hAnsi="Arial" w:cs="Arial"/>
          <w:sz w:val="24"/>
          <w:szCs w:val="24"/>
        </w:rPr>
        <w:t xml:space="preserve">this work, PPSB will not be able to meet the 2022 deadline. Failure to </w:t>
      </w:r>
      <w:r w:rsidR="00224850" w:rsidRPr="003415FC">
        <w:rPr>
          <w:rFonts w:ascii="Arial" w:hAnsi="Arial" w:cs="Arial"/>
          <w:sz w:val="24"/>
          <w:szCs w:val="24"/>
        </w:rPr>
        <w:t xml:space="preserve">maintain </w:t>
      </w:r>
      <w:r w:rsidRPr="003415FC">
        <w:rPr>
          <w:rFonts w:ascii="Arial" w:hAnsi="Arial" w:cs="Arial"/>
          <w:sz w:val="24"/>
          <w:szCs w:val="24"/>
        </w:rPr>
        <w:t xml:space="preserve">RCRA authorization will result in DTSC’s </w:t>
      </w:r>
      <w:r w:rsidR="00A8781E" w:rsidRPr="003415FC">
        <w:rPr>
          <w:rFonts w:ascii="Arial" w:hAnsi="Arial" w:cs="Arial"/>
          <w:sz w:val="24"/>
          <w:szCs w:val="24"/>
        </w:rPr>
        <w:t xml:space="preserve">inability </w:t>
      </w:r>
      <w:r w:rsidRPr="003415FC">
        <w:rPr>
          <w:rFonts w:ascii="Arial" w:hAnsi="Arial" w:cs="Arial"/>
          <w:sz w:val="24"/>
          <w:szCs w:val="24"/>
        </w:rPr>
        <w:t xml:space="preserve">to implement and enforce </w:t>
      </w:r>
      <w:r w:rsidR="00A8781E" w:rsidRPr="003415FC">
        <w:rPr>
          <w:rFonts w:ascii="Arial" w:hAnsi="Arial" w:cs="Arial"/>
          <w:sz w:val="24"/>
          <w:szCs w:val="24"/>
        </w:rPr>
        <w:t>federal and state</w:t>
      </w:r>
      <w:r w:rsidRPr="003415FC">
        <w:rPr>
          <w:rFonts w:ascii="Arial" w:hAnsi="Arial" w:cs="Arial"/>
          <w:sz w:val="24"/>
          <w:szCs w:val="24"/>
        </w:rPr>
        <w:t xml:space="preserve"> hazardous waste </w:t>
      </w:r>
      <w:r w:rsidR="007861A7" w:rsidRPr="003415FC">
        <w:rPr>
          <w:rFonts w:ascii="Arial" w:hAnsi="Arial" w:cs="Arial"/>
          <w:sz w:val="24"/>
          <w:szCs w:val="24"/>
        </w:rPr>
        <w:t xml:space="preserve">management </w:t>
      </w:r>
      <w:r w:rsidRPr="003415FC">
        <w:rPr>
          <w:rFonts w:ascii="Arial" w:hAnsi="Arial" w:cs="Arial"/>
          <w:sz w:val="24"/>
          <w:szCs w:val="24"/>
        </w:rPr>
        <w:t>standards</w:t>
      </w:r>
      <w:r w:rsidR="00DE03DB" w:rsidRPr="003415FC">
        <w:rPr>
          <w:rFonts w:ascii="Arial" w:hAnsi="Arial" w:cs="Arial"/>
          <w:sz w:val="24"/>
          <w:szCs w:val="24"/>
        </w:rPr>
        <w:t xml:space="preserve"> and ensure nationwide consistency for mandatory federal hazardous waste requirements</w:t>
      </w:r>
      <w:r w:rsidRPr="003415FC">
        <w:rPr>
          <w:rFonts w:ascii="Arial" w:hAnsi="Arial" w:cs="Arial"/>
          <w:sz w:val="24"/>
          <w:szCs w:val="24"/>
        </w:rPr>
        <w:t>.</w:t>
      </w:r>
      <w:r w:rsidR="007861A7" w:rsidRPr="003415FC">
        <w:rPr>
          <w:rFonts w:ascii="Arial" w:hAnsi="Arial" w:cs="Arial"/>
          <w:sz w:val="24"/>
          <w:szCs w:val="24"/>
        </w:rPr>
        <w:t xml:space="preserve"> </w:t>
      </w:r>
      <w:r w:rsidR="00224850" w:rsidRPr="003415FC">
        <w:rPr>
          <w:rFonts w:ascii="Arial" w:hAnsi="Arial" w:cs="Arial"/>
          <w:sz w:val="24"/>
          <w:szCs w:val="24"/>
        </w:rPr>
        <w:t>Other impacts may</w:t>
      </w:r>
      <w:r w:rsidR="00314C0D" w:rsidRPr="003415FC">
        <w:rPr>
          <w:rFonts w:ascii="Arial" w:hAnsi="Arial" w:cs="Arial"/>
          <w:sz w:val="24"/>
          <w:szCs w:val="24"/>
        </w:rPr>
        <w:t xml:space="preserve"> include</w:t>
      </w:r>
      <w:r w:rsidR="00224850" w:rsidRPr="003415FC">
        <w:rPr>
          <w:rFonts w:ascii="Arial" w:hAnsi="Arial" w:cs="Arial"/>
          <w:sz w:val="24"/>
          <w:szCs w:val="24"/>
        </w:rPr>
        <w:t xml:space="preserve"> the reduction or loss </w:t>
      </w:r>
      <w:r w:rsidR="007C2733" w:rsidRPr="009A4C7E">
        <w:rPr>
          <w:rFonts w:ascii="Arial" w:hAnsi="Arial" w:cs="Arial"/>
          <w:sz w:val="24"/>
          <w:szCs w:val="24"/>
        </w:rPr>
        <w:t xml:space="preserve">of </w:t>
      </w:r>
      <w:r w:rsidR="00D67C0D">
        <w:rPr>
          <w:rFonts w:ascii="Arial" w:hAnsi="Arial" w:cs="Arial"/>
          <w:sz w:val="24"/>
          <w:szCs w:val="24"/>
        </w:rPr>
        <w:t xml:space="preserve">approximately </w:t>
      </w:r>
      <w:r w:rsidR="007C2733" w:rsidRPr="009A4C7E">
        <w:rPr>
          <w:rFonts w:ascii="Arial" w:eastAsia="+mn-ea" w:hAnsi="Arial" w:cs="Arial"/>
          <w:color w:val="000000"/>
          <w:kern w:val="24"/>
          <w:sz w:val="24"/>
          <w:szCs w:val="24"/>
        </w:rPr>
        <w:t>$</w:t>
      </w:r>
      <w:r w:rsidR="007861A7" w:rsidRPr="003415FC">
        <w:rPr>
          <w:rFonts w:ascii="Arial" w:eastAsia="+mn-ea" w:hAnsi="Arial" w:cs="Arial"/>
          <w:color w:val="000000"/>
          <w:kern w:val="24"/>
          <w:sz w:val="24"/>
          <w:szCs w:val="24"/>
        </w:rPr>
        <w:t xml:space="preserve">10 million </w:t>
      </w:r>
      <w:r w:rsidR="00314C0D" w:rsidRPr="003415FC">
        <w:rPr>
          <w:rFonts w:ascii="Arial" w:eastAsia="+mn-ea" w:hAnsi="Arial" w:cs="Arial"/>
          <w:color w:val="000000"/>
          <w:kern w:val="24"/>
          <w:sz w:val="24"/>
          <w:szCs w:val="24"/>
        </w:rPr>
        <w:t xml:space="preserve">in annual grant funding for </w:t>
      </w:r>
      <w:r w:rsidR="00DE3C1B" w:rsidRPr="003415FC">
        <w:rPr>
          <w:rFonts w:ascii="Arial" w:eastAsia="+mn-ea" w:hAnsi="Arial" w:cs="Arial"/>
          <w:color w:val="000000"/>
          <w:kern w:val="24"/>
          <w:sz w:val="24"/>
          <w:szCs w:val="24"/>
        </w:rPr>
        <w:t xml:space="preserve">managing the </w:t>
      </w:r>
      <w:r w:rsidR="00314C0D" w:rsidRPr="003415FC">
        <w:rPr>
          <w:rFonts w:ascii="Arial" w:eastAsia="+mn-ea" w:hAnsi="Arial" w:cs="Arial"/>
          <w:color w:val="000000"/>
          <w:kern w:val="24"/>
          <w:sz w:val="24"/>
          <w:szCs w:val="24"/>
        </w:rPr>
        <w:t>RCRA</w:t>
      </w:r>
      <w:r w:rsidR="00DE3C1B" w:rsidRPr="003415FC">
        <w:rPr>
          <w:rFonts w:ascii="Arial" w:eastAsia="+mn-ea" w:hAnsi="Arial" w:cs="Arial"/>
          <w:color w:val="000000"/>
          <w:kern w:val="24"/>
          <w:sz w:val="24"/>
          <w:szCs w:val="24"/>
        </w:rPr>
        <w:t xml:space="preserve"> program in </w:t>
      </w:r>
      <w:r w:rsidR="00BE397F" w:rsidRPr="003415FC">
        <w:rPr>
          <w:rFonts w:ascii="Arial" w:eastAsia="+mn-ea" w:hAnsi="Arial" w:cs="Arial"/>
          <w:color w:val="000000"/>
          <w:kern w:val="24"/>
          <w:sz w:val="24"/>
          <w:szCs w:val="24"/>
        </w:rPr>
        <w:t>California</w:t>
      </w:r>
      <w:r w:rsidR="00DE3C1B" w:rsidRPr="003415FC">
        <w:rPr>
          <w:rFonts w:ascii="Arial" w:eastAsia="+mn-ea" w:hAnsi="Arial" w:cs="Arial"/>
          <w:color w:val="000000"/>
          <w:kern w:val="24"/>
          <w:sz w:val="24"/>
          <w:szCs w:val="24"/>
        </w:rPr>
        <w:t xml:space="preserve">. </w:t>
      </w:r>
    </w:p>
    <w:p w14:paraId="37E34F5E" w14:textId="1AF81087" w:rsidR="00DE03DB" w:rsidRPr="003415FC" w:rsidRDefault="00DE03DB" w:rsidP="003415FC">
      <w:pPr>
        <w:spacing w:after="120" w:line="240" w:lineRule="auto"/>
        <w:rPr>
          <w:rFonts w:ascii="Arial" w:eastAsia="Times New Roman" w:hAnsi="Arial" w:cs="Arial"/>
          <w:sz w:val="24"/>
          <w:szCs w:val="24"/>
        </w:rPr>
      </w:pPr>
      <w:r w:rsidRPr="003415FC">
        <w:rPr>
          <w:rFonts w:ascii="Arial" w:hAnsi="Arial" w:cs="Arial"/>
          <w:sz w:val="24"/>
          <w:szCs w:val="24"/>
        </w:rPr>
        <w:t xml:space="preserve">During CalEPA’s outreach to stakeholders in fall 2019 regarding DTSC reform, the stakeholders expressed strong interest in </w:t>
      </w:r>
      <w:r w:rsidR="00D67C0D">
        <w:rPr>
          <w:rFonts w:ascii="Arial" w:hAnsi="Arial" w:cs="Arial"/>
          <w:sz w:val="24"/>
          <w:szCs w:val="24"/>
        </w:rPr>
        <w:t>renewing</w:t>
      </w:r>
      <w:r w:rsidRPr="003415FC">
        <w:rPr>
          <w:rFonts w:ascii="Arial" w:hAnsi="Arial" w:cs="Arial"/>
          <w:sz w:val="24"/>
          <w:szCs w:val="24"/>
        </w:rPr>
        <w:t xml:space="preserve"> the Pollution Preventi</w:t>
      </w:r>
      <w:r w:rsidRPr="009A4C7E">
        <w:rPr>
          <w:rFonts w:ascii="Arial" w:hAnsi="Arial" w:cs="Arial"/>
          <w:sz w:val="24"/>
          <w:szCs w:val="24"/>
        </w:rPr>
        <w:t xml:space="preserve">on (P2) </w:t>
      </w:r>
      <w:r w:rsidR="00F73E6D">
        <w:rPr>
          <w:rFonts w:ascii="Arial" w:hAnsi="Arial" w:cs="Arial"/>
          <w:sz w:val="24"/>
          <w:szCs w:val="24"/>
        </w:rPr>
        <w:t>p</w:t>
      </w:r>
      <w:r w:rsidRPr="009A4C7E">
        <w:rPr>
          <w:rFonts w:ascii="Arial" w:hAnsi="Arial" w:cs="Arial"/>
          <w:sz w:val="24"/>
          <w:szCs w:val="24"/>
        </w:rPr>
        <w:t>rogram</w:t>
      </w:r>
      <w:r w:rsidR="00A976BE">
        <w:rPr>
          <w:rFonts w:ascii="Arial" w:hAnsi="Arial" w:cs="Arial"/>
          <w:sz w:val="24"/>
          <w:szCs w:val="24"/>
        </w:rPr>
        <w:t>,</w:t>
      </w:r>
      <w:r w:rsidRPr="009A4C7E">
        <w:rPr>
          <w:rFonts w:ascii="Arial" w:hAnsi="Arial" w:cs="Arial"/>
          <w:sz w:val="24"/>
          <w:szCs w:val="24"/>
        </w:rPr>
        <w:t xml:space="preserve"> or </w:t>
      </w:r>
      <w:r w:rsidR="0065115E">
        <w:rPr>
          <w:rFonts w:ascii="Arial" w:hAnsi="Arial" w:cs="Arial"/>
          <w:sz w:val="24"/>
          <w:szCs w:val="24"/>
        </w:rPr>
        <w:t>in its place</w:t>
      </w:r>
      <w:r w:rsidR="00A976BE">
        <w:rPr>
          <w:rFonts w:ascii="Arial" w:hAnsi="Arial" w:cs="Arial"/>
          <w:sz w:val="24"/>
          <w:szCs w:val="24"/>
        </w:rPr>
        <w:t>,</w:t>
      </w:r>
      <w:r w:rsidR="0065115E">
        <w:rPr>
          <w:rFonts w:ascii="Arial" w:hAnsi="Arial" w:cs="Arial"/>
          <w:sz w:val="24"/>
          <w:szCs w:val="24"/>
        </w:rPr>
        <w:t xml:space="preserve"> </w:t>
      </w:r>
      <w:r w:rsidRPr="009A4C7E">
        <w:rPr>
          <w:rFonts w:ascii="Arial" w:hAnsi="Arial" w:cs="Arial"/>
          <w:sz w:val="24"/>
          <w:szCs w:val="24"/>
        </w:rPr>
        <w:t>an effective hazard</w:t>
      </w:r>
      <w:r w:rsidRPr="003415FC">
        <w:rPr>
          <w:rFonts w:ascii="Arial" w:hAnsi="Arial" w:cs="Arial"/>
          <w:sz w:val="24"/>
          <w:szCs w:val="24"/>
        </w:rPr>
        <w:t xml:space="preserve">ous waste reduction program. A P2 </w:t>
      </w:r>
      <w:r w:rsidR="00F73E6D">
        <w:rPr>
          <w:rFonts w:ascii="Arial" w:hAnsi="Arial" w:cs="Arial"/>
          <w:sz w:val="24"/>
          <w:szCs w:val="24"/>
        </w:rPr>
        <w:t>p</w:t>
      </w:r>
      <w:r w:rsidRPr="003415FC">
        <w:rPr>
          <w:rFonts w:ascii="Arial" w:hAnsi="Arial" w:cs="Arial"/>
          <w:sz w:val="24"/>
          <w:szCs w:val="24"/>
        </w:rPr>
        <w:t xml:space="preserve">rogram would assist generators with identifying and applying methods to reduce hazardous waste at the source of generation. </w:t>
      </w:r>
      <w:r w:rsidR="0065115E">
        <w:rPr>
          <w:rFonts w:ascii="Arial" w:hAnsi="Arial" w:cs="Arial"/>
          <w:sz w:val="24"/>
          <w:szCs w:val="24"/>
        </w:rPr>
        <w:t xml:space="preserve">With the Administration’s proposal to streamline DTSC’s fee structure and charge a set price per ton </w:t>
      </w:r>
      <w:r w:rsidR="00A976BE">
        <w:rPr>
          <w:rFonts w:ascii="Arial" w:hAnsi="Arial" w:cs="Arial"/>
          <w:sz w:val="24"/>
          <w:szCs w:val="24"/>
        </w:rPr>
        <w:t>for</w:t>
      </w:r>
      <w:r w:rsidR="0065115E">
        <w:rPr>
          <w:rFonts w:ascii="Arial" w:hAnsi="Arial" w:cs="Arial"/>
          <w:sz w:val="24"/>
          <w:szCs w:val="24"/>
        </w:rPr>
        <w:t xml:space="preserve"> hazardous waste generated, </w:t>
      </w:r>
      <w:r w:rsidR="003415FC">
        <w:rPr>
          <w:rFonts w:ascii="Arial" w:hAnsi="Arial" w:cs="Arial"/>
          <w:sz w:val="24"/>
          <w:szCs w:val="24"/>
        </w:rPr>
        <w:t xml:space="preserve">generators would be incentivized to reduce the amount of waste generated by implementing the source reduction methods identified by the P2 program. </w:t>
      </w:r>
    </w:p>
    <w:p w14:paraId="2772E7C7" w14:textId="557228D2" w:rsidR="008069AA" w:rsidRPr="003415FC" w:rsidRDefault="0096581B" w:rsidP="009A4C7E">
      <w:pPr>
        <w:spacing w:after="120" w:line="240" w:lineRule="auto"/>
        <w:rPr>
          <w:rFonts w:ascii="Arial" w:hAnsi="Arial" w:cs="Arial"/>
          <w:sz w:val="24"/>
          <w:szCs w:val="24"/>
        </w:rPr>
      </w:pPr>
      <w:r w:rsidRPr="003415FC">
        <w:rPr>
          <w:rFonts w:ascii="Arial" w:hAnsi="Arial" w:cs="Arial"/>
          <w:b/>
          <w:bCs/>
          <w:sz w:val="24"/>
          <w:szCs w:val="24"/>
        </w:rPr>
        <w:t>Conclusion</w:t>
      </w:r>
    </w:p>
    <w:p w14:paraId="7E3F670A" w14:textId="299712D4" w:rsidR="005C16C0" w:rsidRPr="003415FC" w:rsidRDefault="00137A4E" w:rsidP="009A4C7E">
      <w:pPr>
        <w:pStyle w:val="ListParagraph"/>
        <w:spacing w:after="120"/>
        <w:ind w:left="0"/>
        <w:contextualSpacing w:val="0"/>
        <w:rPr>
          <w:rFonts w:ascii="Arial" w:eastAsia="+mn-ea" w:hAnsi="Arial" w:cs="Arial"/>
          <w:color w:val="000000"/>
          <w:kern w:val="24"/>
        </w:rPr>
      </w:pPr>
      <w:r>
        <w:rPr>
          <w:rFonts w:ascii="Arial" w:eastAsia="+mn-ea" w:hAnsi="Arial" w:cs="Arial"/>
          <w:color w:val="000000"/>
          <w:kern w:val="24"/>
        </w:rPr>
        <w:t>T</w:t>
      </w:r>
      <w:r w:rsidRPr="003415FC">
        <w:rPr>
          <w:rFonts w:ascii="Arial" w:eastAsia="+mn-ea" w:hAnsi="Arial" w:cs="Arial"/>
          <w:color w:val="000000"/>
          <w:kern w:val="24"/>
        </w:rPr>
        <w:t>o avoid serious consequences and potential loss of funding</w:t>
      </w:r>
      <w:r>
        <w:rPr>
          <w:rFonts w:ascii="Arial" w:eastAsia="+mn-ea" w:hAnsi="Arial" w:cs="Arial"/>
          <w:color w:val="000000"/>
          <w:kern w:val="24"/>
        </w:rPr>
        <w:t xml:space="preserve">, </w:t>
      </w:r>
      <w:r w:rsidR="008D0AD6">
        <w:rPr>
          <w:rFonts w:ascii="Arial" w:eastAsia="+mn-ea" w:hAnsi="Arial" w:cs="Arial"/>
          <w:color w:val="000000"/>
          <w:kern w:val="24"/>
        </w:rPr>
        <w:t>PPSB requires</w:t>
      </w:r>
      <w:r w:rsidR="00D62353" w:rsidRPr="003415FC">
        <w:rPr>
          <w:rFonts w:ascii="Arial" w:eastAsia="+mn-ea" w:hAnsi="Arial" w:cs="Arial"/>
          <w:color w:val="000000"/>
          <w:kern w:val="24"/>
        </w:rPr>
        <w:t xml:space="preserve"> </w:t>
      </w:r>
      <w:r w:rsidR="00E82266" w:rsidRPr="003415FC">
        <w:rPr>
          <w:rFonts w:ascii="Arial" w:eastAsia="+mn-ea" w:hAnsi="Arial" w:cs="Arial"/>
          <w:color w:val="000000"/>
          <w:kern w:val="24"/>
        </w:rPr>
        <w:t xml:space="preserve">11 </w:t>
      </w:r>
      <w:r w:rsidR="00F73E6D">
        <w:rPr>
          <w:rFonts w:ascii="Arial" w:eastAsia="+mn-ea" w:hAnsi="Arial" w:cs="Arial"/>
          <w:color w:val="000000"/>
          <w:kern w:val="24"/>
        </w:rPr>
        <w:t>positions</w:t>
      </w:r>
      <w:r w:rsidR="003415FC">
        <w:rPr>
          <w:rFonts w:ascii="Arial" w:eastAsia="+mn-ea" w:hAnsi="Arial" w:cs="Arial"/>
          <w:color w:val="000000"/>
          <w:kern w:val="24"/>
        </w:rPr>
        <w:t xml:space="preserve"> to meet its mandate</w:t>
      </w:r>
      <w:r w:rsidR="00D62353" w:rsidRPr="003415FC">
        <w:rPr>
          <w:rFonts w:ascii="Arial" w:eastAsia="+mn-ea" w:hAnsi="Arial" w:cs="Arial"/>
          <w:color w:val="000000"/>
          <w:kern w:val="24"/>
        </w:rPr>
        <w:t xml:space="preserve"> </w:t>
      </w:r>
      <w:r w:rsidR="00FC4E5C" w:rsidRPr="003415FC">
        <w:rPr>
          <w:rFonts w:ascii="Arial" w:eastAsia="+mn-ea" w:hAnsi="Arial" w:cs="Arial"/>
          <w:color w:val="000000"/>
          <w:kern w:val="24"/>
        </w:rPr>
        <w:t xml:space="preserve">to complete </w:t>
      </w:r>
      <w:r w:rsidR="000E5AFA" w:rsidRPr="003415FC">
        <w:rPr>
          <w:rFonts w:ascii="Arial" w:eastAsia="+mn-ea" w:hAnsi="Arial" w:cs="Arial"/>
          <w:color w:val="000000"/>
          <w:kern w:val="24"/>
        </w:rPr>
        <w:t>ten</w:t>
      </w:r>
      <w:r w:rsidR="00FC4E5C" w:rsidRPr="003415FC">
        <w:rPr>
          <w:rFonts w:ascii="Arial" w:eastAsia="+mn-ea" w:hAnsi="Arial" w:cs="Arial"/>
          <w:color w:val="000000"/>
          <w:kern w:val="24"/>
        </w:rPr>
        <w:t xml:space="preserve"> core RCRA </w:t>
      </w:r>
      <w:r w:rsidR="00E82266" w:rsidRPr="003415FC">
        <w:rPr>
          <w:rFonts w:ascii="Arial" w:eastAsia="+mn-ea" w:hAnsi="Arial" w:cs="Arial"/>
          <w:color w:val="000000"/>
          <w:kern w:val="24"/>
        </w:rPr>
        <w:t>a</w:t>
      </w:r>
      <w:r w:rsidR="00FC4E5C" w:rsidRPr="003415FC">
        <w:rPr>
          <w:rFonts w:ascii="Arial" w:eastAsia="+mn-ea" w:hAnsi="Arial" w:cs="Arial"/>
          <w:color w:val="000000"/>
          <w:kern w:val="24"/>
        </w:rPr>
        <w:t>uthorization packages by September 2022</w:t>
      </w:r>
      <w:r w:rsidR="00D62353" w:rsidRPr="003415FC">
        <w:rPr>
          <w:rFonts w:ascii="Arial" w:eastAsia="+mn-ea" w:hAnsi="Arial" w:cs="Arial"/>
          <w:color w:val="000000"/>
          <w:kern w:val="24"/>
        </w:rPr>
        <w:t xml:space="preserve">. Maintaining RCRA authorization </w:t>
      </w:r>
      <w:r w:rsidR="00DE6707" w:rsidRPr="003415FC">
        <w:rPr>
          <w:rFonts w:ascii="Arial" w:eastAsia="+mn-ea" w:hAnsi="Arial" w:cs="Arial"/>
          <w:color w:val="000000"/>
          <w:kern w:val="24"/>
        </w:rPr>
        <w:t xml:space="preserve">is </w:t>
      </w:r>
      <w:r w:rsidR="002B5417" w:rsidRPr="003415FC">
        <w:rPr>
          <w:rFonts w:ascii="Arial" w:eastAsia="+mn-ea" w:hAnsi="Arial" w:cs="Arial"/>
          <w:color w:val="000000"/>
          <w:kern w:val="24"/>
        </w:rPr>
        <w:t>essential to</w:t>
      </w:r>
      <w:r w:rsidR="00DE6707" w:rsidRPr="003415FC">
        <w:rPr>
          <w:rFonts w:ascii="Arial" w:eastAsia="+mn-ea" w:hAnsi="Arial" w:cs="Arial"/>
          <w:color w:val="000000"/>
          <w:kern w:val="24"/>
        </w:rPr>
        <w:t xml:space="preserve"> California’s ability to manage an effective, enforceable hazardous waste management program. Without it, DTSC could not </w:t>
      </w:r>
      <w:r w:rsidR="003B097D" w:rsidRPr="003415FC">
        <w:rPr>
          <w:rFonts w:ascii="Arial" w:eastAsia="+mn-ea" w:hAnsi="Arial" w:cs="Arial"/>
          <w:color w:val="000000"/>
          <w:kern w:val="24"/>
        </w:rPr>
        <w:t xml:space="preserve">effectively </w:t>
      </w:r>
      <w:r w:rsidR="00DE6707" w:rsidRPr="003415FC">
        <w:rPr>
          <w:rFonts w:ascii="Arial" w:eastAsia="+mn-ea" w:hAnsi="Arial" w:cs="Arial"/>
          <w:color w:val="000000"/>
          <w:kern w:val="24"/>
        </w:rPr>
        <w:t>prevent</w:t>
      </w:r>
      <w:r w:rsidR="00B16E88" w:rsidRPr="003415FC">
        <w:rPr>
          <w:rFonts w:ascii="Arial" w:eastAsia="+mn-ea" w:hAnsi="Arial" w:cs="Arial"/>
          <w:color w:val="000000"/>
          <w:kern w:val="24"/>
        </w:rPr>
        <w:t xml:space="preserve"> hazardous waste </w:t>
      </w:r>
      <w:r w:rsidR="00A51C7A" w:rsidRPr="003415FC">
        <w:rPr>
          <w:rFonts w:ascii="Arial" w:eastAsia="+mn-ea" w:hAnsi="Arial" w:cs="Arial"/>
          <w:color w:val="000000"/>
          <w:kern w:val="24"/>
        </w:rPr>
        <w:t>from harming people, communities, and the environment.</w:t>
      </w:r>
    </w:p>
    <w:p w14:paraId="1096FF16" w14:textId="15761079" w:rsidR="00AF24A0" w:rsidRDefault="00137A4E" w:rsidP="009A4C7E">
      <w:pPr>
        <w:spacing w:after="120" w:line="240" w:lineRule="auto"/>
        <w:rPr>
          <w:rFonts w:ascii="Arial" w:eastAsia="+mn-ea" w:hAnsi="Arial" w:cs="Arial"/>
          <w:color w:val="000000"/>
          <w:kern w:val="24"/>
          <w:sz w:val="24"/>
          <w:szCs w:val="24"/>
        </w:rPr>
      </w:pPr>
      <w:r>
        <w:rPr>
          <w:rFonts w:ascii="Arial" w:hAnsi="Arial" w:cs="Arial"/>
          <w:sz w:val="24"/>
          <w:szCs w:val="24"/>
        </w:rPr>
        <w:t xml:space="preserve">Based on DTSC’s prior experience, PPSB </w:t>
      </w:r>
      <w:r w:rsidR="00926410">
        <w:rPr>
          <w:rFonts w:ascii="Arial" w:hAnsi="Arial" w:cs="Arial"/>
          <w:sz w:val="24"/>
          <w:szCs w:val="24"/>
        </w:rPr>
        <w:t>requires 23</w:t>
      </w:r>
      <w:r w:rsidR="00A976BE">
        <w:rPr>
          <w:rFonts w:ascii="Arial" w:hAnsi="Arial" w:cs="Arial"/>
          <w:sz w:val="24"/>
          <w:szCs w:val="24"/>
        </w:rPr>
        <w:t xml:space="preserve"> </w:t>
      </w:r>
      <w:r w:rsidR="00F73E6D">
        <w:rPr>
          <w:rFonts w:ascii="Arial" w:hAnsi="Arial" w:cs="Arial"/>
          <w:sz w:val="24"/>
          <w:szCs w:val="24"/>
        </w:rPr>
        <w:t>positions</w:t>
      </w:r>
      <w:r w:rsidR="00A976BE">
        <w:rPr>
          <w:rFonts w:ascii="Arial" w:hAnsi="Arial" w:cs="Arial"/>
          <w:sz w:val="24"/>
          <w:szCs w:val="24"/>
        </w:rPr>
        <w:t xml:space="preserve"> to </w:t>
      </w:r>
      <w:r w:rsidR="00D67C0D">
        <w:rPr>
          <w:rFonts w:ascii="Arial" w:hAnsi="Arial" w:cs="Arial"/>
          <w:sz w:val="24"/>
          <w:szCs w:val="24"/>
        </w:rPr>
        <w:t>renew</w:t>
      </w:r>
      <w:r w:rsidR="003415FC">
        <w:rPr>
          <w:rFonts w:ascii="Arial" w:hAnsi="Arial" w:cs="Arial"/>
          <w:sz w:val="24"/>
          <w:szCs w:val="24"/>
        </w:rPr>
        <w:t xml:space="preserve"> the P2 </w:t>
      </w:r>
      <w:r w:rsidR="00F73E6D">
        <w:rPr>
          <w:rFonts w:ascii="Arial" w:hAnsi="Arial" w:cs="Arial"/>
          <w:sz w:val="24"/>
          <w:szCs w:val="24"/>
        </w:rPr>
        <w:t>p</w:t>
      </w:r>
      <w:r w:rsidR="003415FC">
        <w:rPr>
          <w:rFonts w:ascii="Arial" w:hAnsi="Arial" w:cs="Arial"/>
          <w:sz w:val="24"/>
          <w:szCs w:val="24"/>
        </w:rPr>
        <w:t>rogram</w:t>
      </w:r>
      <w:r w:rsidR="00F25616">
        <w:rPr>
          <w:rFonts w:ascii="Arial" w:hAnsi="Arial" w:cs="Arial"/>
          <w:sz w:val="24"/>
          <w:szCs w:val="24"/>
        </w:rPr>
        <w:t>.</w:t>
      </w:r>
      <w:r w:rsidR="003415FC">
        <w:rPr>
          <w:rFonts w:ascii="Arial" w:hAnsi="Arial" w:cs="Arial"/>
          <w:sz w:val="24"/>
          <w:szCs w:val="24"/>
        </w:rPr>
        <w:t xml:space="preserve"> These </w:t>
      </w:r>
      <w:r w:rsidR="008750E3">
        <w:rPr>
          <w:rFonts w:ascii="Arial" w:hAnsi="Arial" w:cs="Arial"/>
          <w:sz w:val="24"/>
          <w:szCs w:val="24"/>
        </w:rPr>
        <w:t>staff</w:t>
      </w:r>
      <w:r w:rsidR="003415FC">
        <w:rPr>
          <w:rFonts w:ascii="Arial" w:hAnsi="Arial" w:cs="Arial"/>
          <w:sz w:val="24"/>
          <w:szCs w:val="24"/>
        </w:rPr>
        <w:t xml:space="preserve"> would</w:t>
      </w:r>
      <w:r w:rsidR="00477EAB" w:rsidRPr="009A4C7E">
        <w:rPr>
          <w:rFonts w:ascii="Arial" w:eastAsia="+mn-ea" w:hAnsi="Arial" w:cs="Arial"/>
          <w:color w:val="000000"/>
          <w:kern w:val="24"/>
          <w:sz w:val="24"/>
          <w:szCs w:val="24"/>
        </w:rPr>
        <w:t xml:space="preserve"> identify</w:t>
      </w:r>
      <w:r w:rsidR="0043621D" w:rsidRPr="009A4C7E">
        <w:rPr>
          <w:rFonts w:ascii="Arial" w:eastAsia="+mn-ea" w:hAnsi="Arial" w:cs="Arial"/>
          <w:color w:val="000000"/>
          <w:kern w:val="24"/>
          <w:sz w:val="24"/>
          <w:szCs w:val="24"/>
        </w:rPr>
        <w:t xml:space="preserve"> emerging chemicals and technology, </w:t>
      </w:r>
      <w:r w:rsidR="004A0C90" w:rsidRPr="009A4C7E">
        <w:rPr>
          <w:rFonts w:ascii="Arial" w:eastAsia="+mn-ea" w:hAnsi="Arial" w:cs="Arial"/>
          <w:color w:val="000000"/>
          <w:kern w:val="24"/>
          <w:sz w:val="24"/>
          <w:szCs w:val="24"/>
        </w:rPr>
        <w:t xml:space="preserve">determine appropriate </w:t>
      </w:r>
      <w:r w:rsidR="0043621D" w:rsidRPr="009A4C7E">
        <w:rPr>
          <w:rFonts w:ascii="Arial" w:eastAsia="+mn-ea" w:hAnsi="Arial" w:cs="Arial"/>
          <w:color w:val="000000"/>
          <w:kern w:val="24"/>
          <w:sz w:val="24"/>
          <w:szCs w:val="24"/>
        </w:rPr>
        <w:t>waste classification, and conduct hazardous waste trend analys</w:t>
      </w:r>
      <w:r w:rsidR="004C699A" w:rsidRPr="009A4C7E">
        <w:rPr>
          <w:rFonts w:ascii="Arial" w:eastAsia="+mn-ea" w:hAnsi="Arial" w:cs="Arial"/>
          <w:color w:val="000000"/>
          <w:kern w:val="24"/>
          <w:sz w:val="24"/>
          <w:szCs w:val="24"/>
        </w:rPr>
        <w:t>e</w:t>
      </w:r>
      <w:r w:rsidR="0043621D" w:rsidRPr="009A4C7E">
        <w:rPr>
          <w:rFonts w:ascii="Arial" w:eastAsia="+mn-ea" w:hAnsi="Arial" w:cs="Arial"/>
          <w:color w:val="000000"/>
          <w:kern w:val="24"/>
          <w:sz w:val="24"/>
          <w:szCs w:val="24"/>
        </w:rPr>
        <w:t>s.</w:t>
      </w:r>
    </w:p>
    <w:p w14:paraId="44031D28" w14:textId="5FFB4A40" w:rsidR="00CD47F4" w:rsidRPr="0004160B" w:rsidRDefault="00CD47F4" w:rsidP="009A4C7E">
      <w:pPr>
        <w:spacing w:after="120" w:line="240" w:lineRule="auto"/>
        <w:rPr>
          <w:rFonts w:ascii="Arial" w:hAnsi="Arial" w:cs="Arial"/>
          <w:sz w:val="24"/>
          <w:szCs w:val="24"/>
        </w:rPr>
      </w:pPr>
      <w:bookmarkStart w:id="0" w:name="_Hlk34677405"/>
      <w:r w:rsidRPr="009A4C7E">
        <w:rPr>
          <w:rFonts w:ascii="Arial" w:eastAsia="+mn-ea" w:hAnsi="Arial" w:cs="Arial"/>
          <w:color w:val="000000"/>
          <w:kern w:val="24"/>
          <w:sz w:val="24"/>
          <w:szCs w:val="24"/>
        </w:rPr>
        <w:t>RCRA authorization and</w:t>
      </w:r>
      <w:r>
        <w:rPr>
          <w:rFonts w:ascii="Arial" w:eastAsia="+mn-ea" w:hAnsi="Arial" w:cs="Arial"/>
          <w:color w:val="000000"/>
          <w:kern w:val="24"/>
          <w:sz w:val="24"/>
          <w:szCs w:val="24"/>
        </w:rPr>
        <w:t xml:space="preserve">, if reinstated, </w:t>
      </w:r>
      <w:r w:rsidRPr="009A4C7E">
        <w:rPr>
          <w:rFonts w:ascii="Arial" w:eastAsia="+mn-ea" w:hAnsi="Arial" w:cs="Arial"/>
          <w:color w:val="000000"/>
          <w:kern w:val="24"/>
          <w:sz w:val="24"/>
          <w:szCs w:val="24"/>
        </w:rPr>
        <w:t xml:space="preserve">P2 activities </w:t>
      </w:r>
      <w:r>
        <w:rPr>
          <w:rFonts w:ascii="Arial" w:eastAsia="+mn-ea" w:hAnsi="Arial" w:cs="Arial"/>
          <w:color w:val="000000"/>
          <w:kern w:val="24"/>
          <w:sz w:val="24"/>
          <w:szCs w:val="24"/>
        </w:rPr>
        <w:t xml:space="preserve">have </w:t>
      </w:r>
      <w:r w:rsidRPr="009A4C7E">
        <w:rPr>
          <w:rFonts w:ascii="Arial" w:eastAsia="+mn-ea" w:hAnsi="Arial" w:cs="Arial"/>
          <w:color w:val="000000"/>
          <w:kern w:val="24"/>
          <w:sz w:val="24"/>
          <w:szCs w:val="24"/>
        </w:rPr>
        <w:t>significant</w:t>
      </w:r>
      <w:r>
        <w:rPr>
          <w:rFonts w:ascii="Arial" w:eastAsia="+mn-ea" w:hAnsi="Arial" w:cs="Arial"/>
          <w:color w:val="000000"/>
          <w:kern w:val="24"/>
          <w:sz w:val="24"/>
          <w:szCs w:val="24"/>
        </w:rPr>
        <w:t xml:space="preserve"> resource needs. These do not represent all </w:t>
      </w:r>
      <w:r w:rsidRPr="009A4C7E">
        <w:rPr>
          <w:rFonts w:ascii="Arial" w:eastAsia="+mn-ea" w:hAnsi="Arial" w:cs="Arial"/>
          <w:color w:val="000000"/>
          <w:kern w:val="24"/>
          <w:sz w:val="24"/>
          <w:szCs w:val="24"/>
        </w:rPr>
        <w:t xml:space="preserve">resource </w:t>
      </w:r>
      <w:r>
        <w:rPr>
          <w:rFonts w:ascii="Arial" w:eastAsia="+mn-ea" w:hAnsi="Arial" w:cs="Arial"/>
          <w:color w:val="000000"/>
          <w:kern w:val="24"/>
          <w:sz w:val="24"/>
          <w:szCs w:val="24"/>
        </w:rPr>
        <w:t>deficits</w:t>
      </w:r>
      <w:r w:rsidRPr="009A4C7E" w:rsidDel="004D1421">
        <w:rPr>
          <w:rFonts w:ascii="Arial" w:eastAsia="+mn-ea" w:hAnsi="Arial" w:cs="Arial"/>
          <w:color w:val="000000"/>
          <w:kern w:val="24"/>
          <w:sz w:val="24"/>
          <w:szCs w:val="24"/>
        </w:rPr>
        <w:t xml:space="preserve"> </w:t>
      </w:r>
      <w:r w:rsidRPr="009A4C7E">
        <w:rPr>
          <w:rFonts w:ascii="Arial" w:eastAsia="+mn-ea" w:hAnsi="Arial" w:cs="Arial"/>
          <w:color w:val="000000"/>
          <w:kern w:val="24"/>
          <w:sz w:val="24"/>
          <w:szCs w:val="24"/>
        </w:rPr>
        <w:t>impacting the essential services of PPSB.</w:t>
      </w:r>
      <w:bookmarkEnd w:id="0"/>
      <w:r>
        <w:rPr>
          <w:rFonts w:ascii="Arial" w:eastAsia="+mn-ea" w:hAnsi="Arial" w:cs="Arial"/>
          <w:color w:val="000000"/>
          <w:kern w:val="24"/>
          <w:sz w:val="24"/>
          <w:szCs w:val="24"/>
        </w:rPr>
        <w:t xml:space="preserve"> </w:t>
      </w:r>
    </w:p>
    <w:p w14:paraId="53A104FD" w14:textId="0268FBF8" w:rsidR="004F23FC" w:rsidRPr="003415FC" w:rsidRDefault="004F23FC" w:rsidP="00AF24A0">
      <w:pPr>
        <w:pStyle w:val="ListParagraph"/>
        <w:spacing w:after="120"/>
        <w:ind w:left="0"/>
        <w:rPr>
          <w:rFonts w:ascii="Arial" w:eastAsia="+mn-ea" w:hAnsi="Arial" w:cs="Arial"/>
        </w:rPr>
      </w:pPr>
    </w:p>
    <w:sectPr w:rsidR="004F23FC" w:rsidRPr="003415FC" w:rsidSect="000715DF">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041B" w14:textId="77777777" w:rsidR="000A4EFC" w:rsidRDefault="000A4EFC" w:rsidP="000715DF">
      <w:pPr>
        <w:spacing w:after="0" w:line="240" w:lineRule="auto"/>
      </w:pPr>
      <w:r>
        <w:separator/>
      </w:r>
    </w:p>
  </w:endnote>
  <w:endnote w:type="continuationSeparator" w:id="0">
    <w:p w14:paraId="355C4B60" w14:textId="77777777" w:rsidR="000A4EFC" w:rsidRDefault="000A4EFC" w:rsidP="000715DF">
      <w:pPr>
        <w:spacing w:after="0" w:line="240" w:lineRule="auto"/>
      </w:pPr>
      <w:r>
        <w:continuationSeparator/>
      </w:r>
    </w:p>
  </w:endnote>
  <w:endnote w:type="continuationNotice" w:id="1">
    <w:p w14:paraId="7ABA04F2" w14:textId="77777777" w:rsidR="000A4EFC" w:rsidRDefault="000A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4356" w14:textId="5EDB0AE2" w:rsidR="00733CBB" w:rsidRPr="00995B77" w:rsidRDefault="00F56D6C" w:rsidP="00995B77">
    <w:pPr>
      <w:pStyle w:val="Footer"/>
      <w:rPr>
        <w:rFonts w:ascii="Arial" w:hAnsi="Arial" w:cs="Arial"/>
      </w:rPr>
    </w:pPr>
    <w:r>
      <w:rPr>
        <w:rFonts w:ascii="Arial" w:hAnsi="Arial" w:cs="Arial"/>
      </w:rPr>
      <w:t>October 26</w:t>
    </w:r>
    <w:r w:rsidR="00733CBB" w:rsidRPr="00995B77">
      <w:rPr>
        <w:rFonts w:ascii="Arial" w:hAnsi="Arial" w:cs="Arial"/>
      </w:rPr>
      <w:t>, 2020</w:t>
    </w:r>
    <w:r w:rsidR="00733CBB" w:rsidRPr="00995B77">
      <w:rPr>
        <w:rFonts w:ascii="Arial" w:hAnsi="Arial" w:cs="Arial"/>
      </w:rPr>
      <w:tab/>
    </w:r>
    <w:r w:rsidR="00733CBB" w:rsidRPr="00995B77">
      <w:rPr>
        <w:rFonts w:ascii="Arial" w:hAnsi="Arial" w:cs="Arial"/>
      </w:rPr>
      <w:tab/>
    </w:r>
    <w:sdt>
      <w:sdtPr>
        <w:rPr>
          <w:rFonts w:ascii="Arial" w:hAnsi="Arial" w:cs="Arial"/>
        </w:rPr>
        <w:id w:val="19127647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733CBB" w:rsidRPr="00995B77">
              <w:rPr>
                <w:rFonts w:ascii="Arial" w:hAnsi="Arial" w:cs="Arial"/>
              </w:rPr>
              <w:t xml:space="preserve">Page </w:t>
            </w:r>
            <w:r w:rsidR="00733CBB" w:rsidRPr="00995B77">
              <w:rPr>
                <w:rFonts w:ascii="Arial" w:hAnsi="Arial" w:cs="Arial"/>
                <w:b/>
                <w:bCs/>
              </w:rPr>
              <w:fldChar w:fldCharType="begin"/>
            </w:r>
            <w:r w:rsidR="00733CBB" w:rsidRPr="00995B77">
              <w:rPr>
                <w:rFonts w:ascii="Arial" w:hAnsi="Arial" w:cs="Arial"/>
                <w:b/>
                <w:bCs/>
              </w:rPr>
              <w:instrText xml:space="preserve"> PAGE </w:instrText>
            </w:r>
            <w:r w:rsidR="00733CBB" w:rsidRPr="00995B77">
              <w:rPr>
                <w:rFonts w:ascii="Arial" w:hAnsi="Arial" w:cs="Arial"/>
                <w:b/>
                <w:bCs/>
              </w:rPr>
              <w:fldChar w:fldCharType="separate"/>
            </w:r>
            <w:r w:rsidR="00733CBB" w:rsidRPr="00995B77">
              <w:rPr>
                <w:rFonts w:ascii="Arial" w:hAnsi="Arial" w:cs="Arial"/>
                <w:b/>
                <w:bCs/>
                <w:noProof/>
              </w:rPr>
              <w:t>2</w:t>
            </w:r>
            <w:r w:rsidR="00733CBB" w:rsidRPr="00995B77">
              <w:rPr>
                <w:rFonts w:ascii="Arial" w:hAnsi="Arial" w:cs="Arial"/>
                <w:b/>
                <w:bCs/>
              </w:rPr>
              <w:fldChar w:fldCharType="end"/>
            </w:r>
            <w:r w:rsidR="00733CBB" w:rsidRPr="00995B77">
              <w:rPr>
                <w:rFonts w:ascii="Arial" w:hAnsi="Arial" w:cs="Arial"/>
              </w:rPr>
              <w:t xml:space="preserve"> of </w:t>
            </w:r>
            <w:r w:rsidR="00733CBB" w:rsidRPr="00995B77">
              <w:rPr>
                <w:rFonts w:ascii="Arial" w:hAnsi="Arial" w:cs="Arial"/>
                <w:b/>
                <w:bCs/>
              </w:rPr>
              <w:fldChar w:fldCharType="begin"/>
            </w:r>
            <w:r w:rsidR="00733CBB" w:rsidRPr="00995B77">
              <w:rPr>
                <w:rFonts w:ascii="Arial" w:hAnsi="Arial" w:cs="Arial"/>
                <w:b/>
                <w:bCs/>
              </w:rPr>
              <w:instrText xml:space="preserve"> NUMPAGES  </w:instrText>
            </w:r>
            <w:r w:rsidR="00733CBB" w:rsidRPr="00995B77">
              <w:rPr>
                <w:rFonts w:ascii="Arial" w:hAnsi="Arial" w:cs="Arial"/>
                <w:b/>
                <w:bCs/>
              </w:rPr>
              <w:fldChar w:fldCharType="separate"/>
            </w:r>
            <w:r w:rsidR="00733CBB" w:rsidRPr="00995B77">
              <w:rPr>
                <w:rFonts w:ascii="Arial" w:hAnsi="Arial" w:cs="Arial"/>
                <w:b/>
                <w:bCs/>
                <w:noProof/>
              </w:rPr>
              <w:t>2</w:t>
            </w:r>
            <w:r w:rsidR="00733CBB" w:rsidRPr="00995B77">
              <w:rPr>
                <w:rFonts w:ascii="Arial" w:hAnsi="Arial" w:cs="Arial"/>
                <w:b/>
                <w:bCs/>
              </w:rPr>
              <w:fldChar w:fldCharType="end"/>
            </w:r>
          </w:sdtContent>
        </w:sdt>
      </w:sdtContent>
    </w:sdt>
  </w:p>
  <w:p w14:paraId="728A81C0" w14:textId="7FE36C14" w:rsidR="00733CBB" w:rsidRPr="00B45878" w:rsidRDefault="00733CBB" w:rsidP="00B4587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EBF7" w14:textId="77777777" w:rsidR="000A4EFC" w:rsidRDefault="000A4EFC" w:rsidP="000715DF">
      <w:pPr>
        <w:spacing w:after="0" w:line="240" w:lineRule="auto"/>
      </w:pPr>
      <w:r>
        <w:separator/>
      </w:r>
    </w:p>
  </w:footnote>
  <w:footnote w:type="continuationSeparator" w:id="0">
    <w:p w14:paraId="24C81B5A" w14:textId="77777777" w:rsidR="000A4EFC" w:rsidRDefault="000A4EFC" w:rsidP="000715DF">
      <w:pPr>
        <w:spacing w:after="0" w:line="240" w:lineRule="auto"/>
      </w:pPr>
      <w:r>
        <w:continuationSeparator/>
      </w:r>
    </w:p>
  </w:footnote>
  <w:footnote w:type="continuationNotice" w:id="1">
    <w:p w14:paraId="1D019BC6" w14:textId="77777777" w:rsidR="000A4EFC" w:rsidRDefault="000A4EFC">
      <w:pPr>
        <w:spacing w:after="0" w:line="240" w:lineRule="auto"/>
      </w:pPr>
    </w:p>
  </w:footnote>
  <w:footnote w:id="2">
    <w:p w14:paraId="46EE7BFF" w14:textId="366BB21B" w:rsidR="00DF4B52" w:rsidRDefault="00DF4B52">
      <w:pPr>
        <w:pStyle w:val="FootnoteText"/>
      </w:pPr>
      <w:r>
        <w:rPr>
          <w:rStyle w:val="FootnoteReference"/>
        </w:rPr>
        <w:footnoteRef/>
      </w:r>
      <w:r>
        <w:t xml:space="preserve"> The Workload Analysis includes all authorized positions.  The operating budget includes facility and indirect costs.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016"/>
    <w:multiLevelType w:val="hybridMultilevel"/>
    <w:tmpl w:val="CC187158"/>
    <w:lvl w:ilvl="0" w:tplc="D1F2DF16">
      <w:start w:val="1"/>
      <w:numFmt w:val="bullet"/>
      <w:lvlText w:val="o"/>
      <w:lvlJc w:val="left"/>
      <w:pPr>
        <w:tabs>
          <w:tab w:val="num" w:pos="720"/>
        </w:tabs>
        <w:ind w:left="720" w:hanging="360"/>
      </w:pPr>
      <w:rPr>
        <w:rFonts w:ascii="Courier New" w:hAnsi="Courier New" w:hint="default"/>
      </w:rPr>
    </w:lvl>
    <w:lvl w:ilvl="1" w:tplc="D59C7C74" w:tentative="1">
      <w:start w:val="1"/>
      <w:numFmt w:val="bullet"/>
      <w:lvlText w:val="o"/>
      <w:lvlJc w:val="left"/>
      <w:pPr>
        <w:tabs>
          <w:tab w:val="num" w:pos="1440"/>
        </w:tabs>
        <w:ind w:left="1440" w:hanging="360"/>
      </w:pPr>
      <w:rPr>
        <w:rFonts w:ascii="Courier New" w:hAnsi="Courier New" w:hint="default"/>
      </w:rPr>
    </w:lvl>
    <w:lvl w:ilvl="2" w:tplc="E8EE7478" w:tentative="1">
      <w:start w:val="1"/>
      <w:numFmt w:val="bullet"/>
      <w:lvlText w:val="o"/>
      <w:lvlJc w:val="left"/>
      <w:pPr>
        <w:tabs>
          <w:tab w:val="num" w:pos="2160"/>
        </w:tabs>
        <w:ind w:left="2160" w:hanging="360"/>
      </w:pPr>
      <w:rPr>
        <w:rFonts w:ascii="Courier New" w:hAnsi="Courier New" w:hint="default"/>
      </w:rPr>
    </w:lvl>
    <w:lvl w:ilvl="3" w:tplc="9EEAEC12" w:tentative="1">
      <w:start w:val="1"/>
      <w:numFmt w:val="bullet"/>
      <w:lvlText w:val="o"/>
      <w:lvlJc w:val="left"/>
      <w:pPr>
        <w:tabs>
          <w:tab w:val="num" w:pos="2880"/>
        </w:tabs>
        <w:ind w:left="2880" w:hanging="360"/>
      </w:pPr>
      <w:rPr>
        <w:rFonts w:ascii="Courier New" w:hAnsi="Courier New" w:hint="default"/>
      </w:rPr>
    </w:lvl>
    <w:lvl w:ilvl="4" w:tplc="24A095BC" w:tentative="1">
      <w:start w:val="1"/>
      <w:numFmt w:val="bullet"/>
      <w:lvlText w:val="o"/>
      <w:lvlJc w:val="left"/>
      <w:pPr>
        <w:tabs>
          <w:tab w:val="num" w:pos="3600"/>
        </w:tabs>
        <w:ind w:left="3600" w:hanging="360"/>
      </w:pPr>
      <w:rPr>
        <w:rFonts w:ascii="Courier New" w:hAnsi="Courier New" w:hint="default"/>
      </w:rPr>
    </w:lvl>
    <w:lvl w:ilvl="5" w:tplc="BECA0540" w:tentative="1">
      <w:start w:val="1"/>
      <w:numFmt w:val="bullet"/>
      <w:lvlText w:val="o"/>
      <w:lvlJc w:val="left"/>
      <w:pPr>
        <w:tabs>
          <w:tab w:val="num" w:pos="4320"/>
        </w:tabs>
        <w:ind w:left="4320" w:hanging="360"/>
      </w:pPr>
      <w:rPr>
        <w:rFonts w:ascii="Courier New" w:hAnsi="Courier New" w:hint="default"/>
      </w:rPr>
    </w:lvl>
    <w:lvl w:ilvl="6" w:tplc="EB9EC7CC" w:tentative="1">
      <w:start w:val="1"/>
      <w:numFmt w:val="bullet"/>
      <w:lvlText w:val="o"/>
      <w:lvlJc w:val="left"/>
      <w:pPr>
        <w:tabs>
          <w:tab w:val="num" w:pos="5040"/>
        </w:tabs>
        <w:ind w:left="5040" w:hanging="360"/>
      </w:pPr>
      <w:rPr>
        <w:rFonts w:ascii="Courier New" w:hAnsi="Courier New" w:hint="default"/>
      </w:rPr>
    </w:lvl>
    <w:lvl w:ilvl="7" w:tplc="9172531C" w:tentative="1">
      <w:start w:val="1"/>
      <w:numFmt w:val="bullet"/>
      <w:lvlText w:val="o"/>
      <w:lvlJc w:val="left"/>
      <w:pPr>
        <w:tabs>
          <w:tab w:val="num" w:pos="5760"/>
        </w:tabs>
        <w:ind w:left="5760" w:hanging="360"/>
      </w:pPr>
      <w:rPr>
        <w:rFonts w:ascii="Courier New" w:hAnsi="Courier New" w:hint="default"/>
      </w:rPr>
    </w:lvl>
    <w:lvl w:ilvl="8" w:tplc="B1384DA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29E5FD3"/>
    <w:multiLevelType w:val="hybridMultilevel"/>
    <w:tmpl w:val="9B8E15F2"/>
    <w:lvl w:ilvl="0" w:tplc="4E48A6E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42AE2"/>
    <w:multiLevelType w:val="hybridMultilevel"/>
    <w:tmpl w:val="A5E4CE60"/>
    <w:lvl w:ilvl="0" w:tplc="E58845A8">
      <w:start w:val="1"/>
      <w:numFmt w:val="bullet"/>
      <w:lvlText w:val="▪"/>
      <w:lvlJc w:val="left"/>
      <w:pPr>
        <w:ind w:left="6056" w:hanging="360"/>
      </w:pPr>
      <w:rPr>
        <w:rFonts w:ascii="Microsoft Sans Serif" w:eastAsia="Microsoft Sans Serif" w:hAnsi="Microsoft Sans Serif" w:hint="default"/>
        <w:w w:val="129"/>
        <w:sz w:val="28"/>
        <w:szCs w:val="28"/>
      </w:rPr>
    </w:lvl>
    <w:lvl w:ilvl="1" w:tplc="04090003" w:tentative="1">
      <w:start w:val="1"/>
      <w:numFmt w:val="bullet"/>
      <w:lvlText w:val="o"/>
      <w:lvlJc w:val="left"/>
      <w:pPr>
        <w:ind w:left="6776" w:hanging="360"/>
      </w:pPr>
      <w:rPr>
        <w:rFonts w:ascii="Courier New" w:hAnsi="Courier New" w:cs="Courier New" w:hint="default"/>
      </w:rPr>
    </w:lvl>
    <w:lvl w:ilvl="2" w:tplc="04090005" w:tentative="1">
      <w:start w:val="1"/>
      <w:numFmt w:val="bullet"/>
      <w:lvlText w:val=""/>
      <w:lvlJc w:val="left"/>
      <w:pPr>
        <w:ind w:left="7496" w:hanging="360"/>
      </w:pPr>
      <w:rPr>
        <w:rFonts w:ascii="Wingdings" w:hAnsi="Wingdings" w:hint="default"/>
      </w:rPr>
    </w:lvl>
    <w:lvl w:ilvl="3" w:tplc="04090001" w:tentative="1">
      <w:start w:val="1"/>
      <w:numFmt w:val="bullet"/>
      <w:lvlText w:val=""/>
      <w:lvlJc w:val="left"/>
      <w:pPr>
        <w:ind w:left="8216" w:hanging="360"/>
      </w:pPr>
      <w:rPr>
        <w:rFonts w:ascii="Symbol" w:hAnsi="Symbol" w:hint="default"/>
      </w:rPr>
    </w:lvl>
    <w:lvl w:ilvl="4" w:tplc="04090003" w:tentative="1">
      <w:start w:val="1"/>
      <w:numFmt w:val="bullet"/>
      <w:lvlText w:val="o"/>
      <w:lvlJc w:val="left"/>
      <w:pPr>
        <w:ind w:left="8936" w:hanging="360"/>
      </w:pPr>
      <w:rPr>
        <w:rFonts w:ascii="Courier New" w:hAnsi="Courier New" w:cs="Courier New" w:hint="default"/>
      </w:rPr>
    </w:lvl>
    <w:lvl w:ilvl="5" w:tplc="04090005" w:tentative="1">
      <w:start w:val="1"/>
      <w:numFmt w:val="bullet"/>
      <w:lvlText w:val=""/>
      <w:lvlJc w:val="left"/>
      <w:pPr>
        <w:ind w:left="9656" w:hanging="360"/>
      </w:pPr>
      <w:rPr>
        <w:rFonts w:ascii="Wingdings" w:hAnsi="Wingdings" w:hint="default"/>
      </w:rPr>
    </w:lvl>
    <w:lvl w:ilvl="6" w:tplc="04090001" w:tentative="1">
      <w:start w:val="1"/>
      <w:numFmt w:val="bullet"/>
      <w:lvlText w:val=""/>
      <w:lvlJc w:val="left"/>
      <w:pPr>
        <w:ind w:left="10376" w:hanging="360"/>
      </w:pPr>
      <w:rPr>
        <w:rFonts w:ascii="Symbol" w:hAnsi="Symbol" w:hint="default"/>
      </w:rPr>
    </w:lvl>
    <w:lvl w:ilvl="7" w:tplc="04090003" w:tentative="1">
      <w:start w:val="1"/>
      <w:numFmt w:val="bullet"/>
      <w:lvlText w:val="o"/>
      <w:lvlJc w:val="left"/>
      <w:pPr>
        <w:ind w:left="11096" w:hanging="360"/>
      </w:pPr>
      <w:rPr>
        <w:rFonts w:ascii="Courier New" w:hAnsi="Courier New" w:cs="Courier New" w:hint="default"/>
      </w:rPr>
    </w:lvl>
    <w:lvl w:ilvl="8" w:tplc="04090005" w:tentative="1">
      <w:start w:val="1"/>
      <w:numFmt w:val="bullet"/>
      <w:lvlText w:val=""/>
      <w:lvlJc w:val="left"/>
      <w:pPr>
        <w:ind w:left="11816" w:hanging="360"/>
      </w:pPr>
      <w:rPr>
        <w:rFonts w:ascii="Wingdings" w:hAnsi="Wingdings" w:hint="default"/>
      </w:rPr>
    </w:lvl>
  </w:abstractNum>
  <w:abstractNum w:abstractNumId="3" w15:restartNumberingAfterBreak="0">
    <w:nsid w:val="16736684"/>
    <w:multiLevelType w:val="hybridMultilevel"/>
    <w:tmpl w:val="3C6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3CD9"/>
    <w:multiLevelType w:val="hybridMultilevel"/>
    <w:tmpl w:val="467A47BA"/>
    <w:lvl w:ilvl="0" w:tplc="71DECF00">
      <w:start w:val="1"/>
      <w:numFmt w:val="bullet"/>
      <w:lvlText w:val=""/>
      <w:lvlJc w:val="left"/>
      <w:pPr>
        <w:tabs>
          <w:tab w:val="num" w:pos="720"/>
        </w:tabs>
        <w:ind w:left="720" w:hanging="360"/>
      </w:pPr>
      <w:rPr>
        <w:rFonts w:ascii="Wingdings" w:hAnsi="Wingdings" w:hint="default"/>
      </w:rPr>
    </w:lvl>
    <w:lvl w:ilvl="1" w:tplc="C88418F0">
      <w:start w:val="2004"/>
      <w:numFmt w:val="bullet"/>
      <w:lvlText w:val="‒"/>
      <w:lvlJc w:val="left"/>
      <w:pPr>
        <w:tabs>
          <w:tab w:val="num" w:pos="1440"/>
        </w:tabs>
        <w:ind w:left="1440" w:hanging="360"/>
      </w:pPr>
      <w:rPr>
        <w:rFonts w:ascii="Arial" w:hAnsi="Arial"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22720"/>
    <w:multiLevelType w:val="hybridMultilevel"/>
    <w:tmpl w:val="8486A53C"/>
    <w:lvl w:ilvl="0" w:tplc="71DECF00">
      <w:start w:val="1"/>
      <w:numFmt w:val="bullet"/>
      <w:lvlText w:val=""/>
      <w:lvlJc w:val="left"/>
      <w:pPr>
        <w:tabs>
          <w:tab w:val="num" w:pos="720"/>
        </w:tabs>
        <w:ind w:left="720" w:hanging="360"/>
      </w:pPr>
      <w:rPr>
        <w:rFonts w:ascii="Wingdings" w:hAnsi="Wingdings" w:hint="default"/>
      </w:rPr>
    </w:lvl>
    <w:lvl w:ilvl="1" w:tplc="AC8AD4B8">
      <w:numFmt w:val="bullet"/>
      <w:lvlText w:val=""/>
      <w:lvlJc w:val="left"/>
      <w:pPr>
        <w:tabs>
          <w:tab w:val="num" w:pos="1440"/>
        </w:tabs>
        <w:ind w:left="1440" w:hanging="360"/>
      </w:pPr>
      <w:rPr>
        <w:rFonts w:ascii="Courier New" w:hAnsi="Courier New"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915F5"/>
    <w:multiLevelType w:val="hybridMultilevel"/>
    <w:tmpl w:val="14764BDC"/>
    <w:lvl w:ilvl="0" w:tplc="71DECF00">
      <w:start w:val="1"/>
      <w:numFmt w:val="bullet"/>
      <w:lvlText w:val=""/>
      <w:lvlJc w:val="left"/>
      <w:pPr>
        <w:tabs>
          <w:tab w:val="num" w:pos="720"/>
        </w:tabs>
        <w:ind w:left="720" w:hanging="360"/>
      </w:pPr>
      <w:rPr>
        <w:rFonts w:ascii="Wingdings" w:hAnsi="Wingdings" w:hint="default"/>
      </w:rPr>
    </w:lvl>
    <w:lvl w:ilvl="1" w:tplc="C88418F0">
      <w:start w:val="2004"/>
      <w:numFmt w:val="bullet"/>
      <w:lvlText w:val="‒"/>
      <w:lvlJc w:val="left"/>
      <w:pPr>
        <w:tabs>
          <w:tab w:val="num" w:pos="1440"/>
        </w:tabs>
        <w:ind w:left="1440" w:hanging="360"/>
      </w:pPr>
      <w:rPr>
        <w:rFonts w:ascii="Arial" w:hAnsi="Arial"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8334A"/>
    <w:multiLevelType w:val="hybridMultilevel"/>
    <w:tmpl w:val="C176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3071A"/>
    <w:multiLevelType w:val="hybridMultilevel"/>
    <w:tmpl w:val="361428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5F5EA4"/>
    <w:multiLevelType w:val="hybridMultilevel"/>
    <w:tmpl w:val="FC38832C"/>
    <w:lvl w:ilvl="0" w:tplc="D2FC9DF4">
      <w:start w:val="1"/>
      <w:numFmt w:val="bullet"/>
      <w:lvlText w:val=""/>
      <w:lvlJc w:val="left"/>
      <w:pPr>
        <w:tabs>
          <w:tab w:val="num" w:pos="720"/>
        </w:tabs>
        <w:ind w:left="720" w:hanging="360"/>
      </w:pPr>
      <w:rPr>
        <w:rFonts w:ascii="Wingdings" w:hAnsi="Wingdings" w:hint="default"/>
      </w:rPr>
    </w:lvl>
    <w:lvl w:ilvl="1" w:tplc="1CDC9180" w:tentative="1">
      <w:start w:val="1"/>
      <w:numFmt w:val="bullet"/>
      <w:lvlText w:val=""/>
      <w:lvlJc w:val="left"/>
      <w:pPr>
        <w:tabs>
          <w:tab w:val="num" w:pos="1440"/>
        </w:tabs>
        <w:ind w:left="1440" w:hanging="360"/>
      </w:pPr>
      <w:rPr>
        <w:rFonts w:ascii="Wingdings" w:hAnsi="Wingdings" w:hint="default"/>
      </w:rPr>
    </w:lvl>
    <w:lvl w:ilvl="2" w:tplc="50207494" w:tentative="1">
      <w:start w:val="1"/>
      <w:numFmt w:val="bullet"/>
      <w:lvlText w:val=""/>
      <w:lvlJc w:val="left"/>
      <w:pPr>
        <w:tabs>
          <w:tab w:val="num" w:pos="2160"/>
        </w:tabs>
        <w:ind w:left="2160" w:hanging="360"/>
      </w:pPr>
      <w:rPr>
        <w:rFonts w:ascii="Wingdings" w:hAnsi="Wingdings" w:hint="default"/>
      </w:rPr>
    </w:lvl>
    <w:lvl w:ilvl="3" w:tplc="C14AD77A" w:tentative="1">
      <w:start w:val="1"/>
      <w:numFmt w:val="bullet"/>
      <w:lvlText w:val=""/>
      <w:lvlJc w:val="left"/>
      <w:pPr>
        <w:tabs>
          <w:tab w:val="num" w:pos="2880"/>
        </w:tabs>
        <w:ind w:left="2880" w:hanging="360"/>
      </w:pPr>
      <w:rPr>
        <w:rFonts w:ascii="Wingdings" w:hAnsi="Wingdings" w:hint="default"/>
      </w:rPr>
    </w:lvl>
    <w:lvl w:ilvl="4" w:tplc="FFC4A0BA" w:tentative="1">
      <w:start w:val="1"/>
      <w:numFmt w:val="bullet"/>
      <w:lvlText w:val=""/>
      <w:lvlJc w:val="left"/>
      <w:pPr>
        <w:tabs>
          <w:tab w:val="num" w:pos="3600"/>
        </w:tabs>
        <w:ind w:left="3600" w:hanging="360"/>
      </w:pPr>
      <w:rPr>
        <w:rFonts w:ascii="Wingdings" w:hAnsi="Wingdings" w:hint="default"/>
      </w:rPr>
    </w:lvl>
    <w:lvl w:ilvl="5" w:tplc="6D52758C" w:tentative="1">
      <w:start w:val="1"/>
      <w:numFmt w:val="bullet"/>
      <w:lvlText w:val=""/>
      <w:lvlJc w:val="left"/>
      <w:pPr>
        <w:tabs>
          <w:tab w:val="num" w:pos="4320"/>
        </w:tabs>
        <w:ind w:left="4320" w:hanging="360"/>
      </w:pPr>
      <w:rPr>
        <w:rFonts w:ascii="Wingdings" w:hAnsi="Wingdings" w:hint="default"/>
      </w:rPr>
    </w:lvl>
    <w:lvl w:ilvl="6" w:tplc="12EA0AD4" w:tentative="1">
      <w:start w:val="1"/>
      <w:numFmt w:val="bullet"/>
      <w:lvlText w:val=""/>
      <w:lvlJc w:val="left"/>
      <w:pPr>
        <w:tabs>
          <w:tab w:val="num" w:pos="5040"/>
        </w:tabs>
        <w:ind w:left="5040" w:hanging="360"/>
      </w:pPr>
      <w:rPr>
        <w:rFonts w:ascii="Wingdings" w:hAnsi="Wingdings" w:hint="default"/>
      </w:rPr>
    </w:lvl>
    <w:lvl w:ilvl="7" w:tplc="C098332E" w:tentative="1">
      <w:start w:val="1"/>
      <w:numFmt w:val="bullet"/>
      <w:lvlText w:val=""/>
      <w:lvlJc w:val="left"/>
      <w:pPr>
        <w:tabs>
          <w:tab w:val="num" w:pos="5760"/>
        </w:tabs>
        <w:ind w:left="5760" w:hanging="360"/>
      </w:pPr>
      <w:rPr>
        <w:rFonts w:ascii="Wingdings" w:hAnsi="Wingdings" w:hint="default"/>
      </w:rPr>
    </w:lvl>
    <w:lvl w:ilvl="8" w:tplc="D8CC97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44AFF"/>
    <w:multiLevelType w:val="hybridMultilevel"/>
    <w:tmpl w:val="A6128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050EA"/>
    <w:multiLevelType w:val="hybridMultilevel"/>
    <w:tmpl w:val="B6C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C113E"/>
    <w:multiLevelType w:val="hybridMultilevel"/>
    <w:tmpl w:val="6EB24556"/>
    <w:lvl w:ilvl="0" w:tplc="829CFE70">
      <w:start w:val="1"/>
      <w:numFmt w:val="bullet"/>
      <w:lvlText w:val=""/>
      <w:lvlJc w:val="left"/>
      <w:pPr>
        <w:tabs>
          <w:tab w:val="num" w:pos="720"/>
        </w:tabs>
        <w:ind w:left="720" w:hanging="360"/>
      </w:pPr>
      <w:rPr>
        <w:rFonts w:ascii="Wingdings" w:hAnsi="Wingdings" w:hint="default"/>
      </w:rPr>
    </w:lvl>
    <w:lvl w:ilvl="1" w:tplc="BAF60FDC" w:tentative="1">
      <w:start w:val="1"/>
      <w:numFmt w:val="bullet"/>
      <w:lvlText w:val=""/>
      <w:lvlJc w:val="left"/>
      <w:pPr>
        <w:tabs>
          <w:tab w:val="num" w:pos="1440"/>
        </w:tabs>
        <w:ind w:left="1440" w:hanging="360"/>
      </w:pPr>
      <w:rPr>
        <w:rFonts w:ascii="Wingdings" w:hAnsi="Wingdings" w:hint="default"/>
      </w:rPr>
    </w:lvl>
    <w:lvl w:ilvl="2" w:tplc="DF8455A8" w:tentative="1">
      <w:start w:val="1"/>
      <w:numFmt w:val="bullet"/>
      <w:lvlText w:val=""/>
      <w:lvlJc w:val="left"/>
      <w:pPr>
        <w:tabs>
          <w:tab w:val="num" w:pos="2160"/>
        </w:tabs>
        <w:ind w:left="2160" w:hanging="360"/>
      </w:pPr>
      <w:rPr>
        <w:rFonts w:ascii="Wingdings" w:hAnsi="Wingdings" w:hint="default"/>
      </w:rPr>
    </w:lvl>
    <w:lvl w:ilvl="3" w:tplc="72048864" w:tentative="1">
      <w:start w:val="1"/>
      <w:numFmt w:val="bullet"/>
      <w:lvlText w:val=""/>
      <w:lvlJc w:val="left"/>
      <w:pPr>
        <w:tabs>
          <w:tab w:val="num" w:pos="2880"/>
        </w:tabs>
        <w:ind w:left="2880" w:hanging="360"/>
      </w:pPr>
      <w:rPr>
        <w:rFonts w:ascii="Wingdings" w:hAnsi="Wingdings" w:hint="default"/>
      </w:rPr>
    </w:lvl>
    <w:lvl w:ilvl="4" w:tplc="D93ECCFE" w:tentative="1">
      <w:start w:val="1"/>
      <w:numFmt w:val="bullet"/>
      <w:lvlText w:val=""/>
      <w:lvlJc w:val="left"/>
      <w:pPr>
        <w:tabs>
          <w:tab w:val="num" w:pos="3600"/>
        </w:tabs>
        <w:ind w:left="3600" w:hanging="360"/>
      </w:pPr>
      <w:rPr>
        <w:rFonts w:ascii="Wingdings" w:hAnsi="Wingdings" w:hint="default"/>
      </w:rPr>
    </w:lvl>
    <w:lvl w:ilvl="5" w:tplc="CFB4EC50" w:tentative="1">
      <w:start w:val="1"/>
      <w:numFmt w:val="bullet"/>
      <w:lvlText w:val=""/>
      <w:lvlJc w:val="left"/>
      <w:pPr>
        <w:tabs>
          <w:tab w:val="num" w:pos="4320"/>
        </w:tabs>
        <w:ind w:left="4320" w:hanging="360"/>
      </w:pPr>
      <w:rPr>
        <w:rFonts w:ascii="Wingdings" w:hAnsi="Wingdings" w:hint="default"/>
      </w:rPr>
    </w:lvl>
    <w:lvl w:ilvl="6" w:tplc="36D266AA" w:tentative="1">
      <w:start w:val="1"/>
      <w:numFmt w:val="bullet"/>
      <w:lvlText w:val=""/>
      <w:lvlJc w:val="left"/>
      <w:pPr>
        <w:tabs>
          <w:tab w:val="num" w:pos="5040"/>
        </w:tabs>
        <w:ind w:left="5040" w:hanging="360"/>
      </w:pPr>
      <w:rPr>
        <w:rFonts w:ascii="Wingdings" w:hAnsi="Wingdings" w:hint="default"/>
      </w:rPr>
    </w:lvl>
    <w:lvl w:ilvl="7" w:tplc="063465B4" w:tentative="1">
      <w:start w:val="1"/>
      <w:numFmt w:val="bullet"/>
      <w:lvlText w:val=""/>
      <w:lvlJc w:val="left"/>
      <w:pPr>
        <w:tabs>
          <w:tab w:val="num" w:pos="5760"/>
        </w:tabs>
        <w:ind w:left="5760" w:hanging="360"/>
      </w:pPr>
      <w:rPr>
        <w:rFonts w:ascii="Wingdings" w:hAnsi="Wingdings" w:hint="default"/>
      </w:rPr>
    </w:lvl>
    <w:lvl w:ilvl="8" w:tplc="09F434C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7"/>
  </w:num>
  <w:num w:numId="8">
    <w:abstractNumId w:val="8"/>
  </w:num>
  <w:num w:numId="9">
    <w:abstractNumId w:val="10"/>
  </w:num>
  <w:num w:numId="10">
    <w:abstractNumId w:val="3"/>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IDO80rV1b6ucDKj+U0Yq+Z/Eg9EicIqiVZRkNayooNCGTrF0s+hUdWlGkuJPwkV6ljpC6Mc2619F3/tbGuCsQ==" w:salt="CA8Jwjk2pOZlS9I27ObY6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C6"/>
    <w:rsid w:val="00005037"/>
    <w:rsid w:val="000060F7"/>
    <w:rsid w:val="00010B95"/>
    <w:rsid w:val="00013501"/>
    <w:rsid w:val="0004160B"/>
    <w:rsid w:val="00046007"/>
    <w:rsid w:val="000715DF"/>
    <w:rsid w:val="00074B41"/>
    <w:rsid w:val="00092D37"/>
    <w:rsid w:val="000A4EFC"/>
    <w:rsid w:val="000C2554"/>
    <w:rsid w:val="000D7A31"/>
    <w:rsid w:val="000E1559"/>
    <w:rsid w:val="000E3851"/>
    <w:rsid w:val="000E5AFA"/>
    <w:rsid w:val="000E73DF"/>
    <w:rsid w:val="00104BAA"/>
    <w:rsid w:val="001155ED"/>
    <w:rsid w:val="001268C6"/>
    <w:rsid w:val="00137A4E"/>
    <w:rsid w:val="00145689"/>
    <w:rsid w:val="001457CE"/>
    <w:rsid w:val="0015691E"/>
    <w:rsid w:val="00163E16"/>
    <w:rsid w:val="00183877"/>
    <w:rsid w:val="001B5FAF"/>
    <w:rsid w:val="001E27D6"/>
    <w:rsid w:val="001F2B75"/>
    <w:rsid w:val="0021058D"/>
    <w:rsid w:val="00213BFD"/>
    <w:rsid w:val="002171F3"/>
    <w:rsid w:val="00224850"/>
    <w:rsid w:val="0022513A"/>
    <w:rsid w:val="00250ED9"/>
    <w:rsid w:val="00262147"/>
    <w:rsid w:val="00295A35"/>
    <w:rsid w:val="00296825"/>
    <w:rsid w:val="002A7C79"/>
    <w:rsid w:val="002B5417"/>
    <w:rsid w:val="002B6FA6"/>
    <w:rsid w:val="002D59F3"/>
    <w:rsid w:val="002F4576"/>
    <w:rsid w:val="00303D37"/>
    <w:rsid w:val="00306023"/>
    <w:rsid w:val="003067F6"/>
    <w:rsid w:val="00314C0D"/>
    <w:rsid w:val="00316539"/>
    <w:rsid w:val="00317066"/>
    <w:rsid w:val="0032487A"/>
    <w:rsid w:val="00326B04"/>
    <w:rsid w:val="003415FC"/>
    <w:rsid w:val="0034528F"/>
    <w:rsid w:val="003534AA"/>
    <w:rsid w:val="003579DD"/>
    <w:rsid w:val="00361BD0"/>
    <w:rsid w:val="0036242D"/>
    <w:rsid w:val="00374159"/>
    <w:rsid w:val="003A64A8"/>
    <w:rsid w:val="003B097D"/>
    <w:rsid w:val="003B142E"/>
    <w:rsid w:val="003C03D6"/>
    <w:rsid w:val="003C0715"/>
    <w:rsid w:val="003C17AD"/>
    <w:rsid w:val="003C1F94"/>
    <w:rsid w:val="003D45D3"/>
    <w:rsid w:val="003F3845"/>
    <w:rsid w:val="003F678A"/>
    <w:rsid w:val="004313D0"/>
    <w:rsid w:val="0043192D"/>
    <w:rsid w:val="0043621D"/>
    <w:rsid w:val="00440A6B"/>
    <w:rsid w:val="00450002"/>
    <w:rsid w:val="004504DD"/>
    <w:rsid w:val="00475A8C"/>
    <w:rsid w:val="00477EAB"/>
    <w:rsid w:val="004A05ED"/>
    <w:rsid w:val="004A0C90"/>
    <w:rsid w:val="004B35F1"/>
    <w:rsid w:val="004B3B9B"/>
    <w:rsid w:val="004B7FDF"/>
    <w:rsid w:val="004C1562"/>
    <w:rsid w:val="004C15EF"/>
    <w:rsid w:val="004C18FD"/>
    <w:rsid w:val="004C699A"/>
    <w:rsid w:val="004C7A80"/>
    <w:rsid w:val="004F23FC"/>
    <w:rsid w:val="00536BFB"/>
    <w:rsid w:val="00551EEB"/>
    <w:rsid w:val="00581260"/>
    <w:rsid w:val="005871CF"/>
    <w:rsid w:val="005B6282"/>
    <w:rsid w:val="005C16C0"/>
    <w:rsid w:val="005C435C"/>
    <w:rsid w:val="005D1BA0"/>
    <w:rsid w:val="005F0AE6"/>
    <w:rsid w:val="005F1607"/>
    <w:rsid w:val="005F21BF"/>
    <w:rsid w:val="005F493F"/>
    <w:rsid w:val="005F7DC4"/>
    <w:rsid w:val="006125F4"/>
    <w:rsid w:val="00615601"/>
    <w:rsid w:val="006237B2"/>
    <w:rsid w:val="00632596"/>
    <w:rsid w:val="0065115E"/>
    <w:rsid w:val="00653818"/>
    <w:rsid w:val="00657B1B"/>
    <w:rsid w:val="00674A85"/>
    <w:rsid w:val="00681411"/>
    <w:rsid w:val="006B0F51"/>
    <w:rsid w:val="006E18B0"/>
    <w:rsid w:val="006F599B"/>
    <w:rsid w:val="00713D65"/>
    <w:rsid w:val="00733CBB"/>
    <w:rsid w:val="00737B1E"/>
    <w:rsid w:val="007407DD"/>
    <w:rsid w:val="00747E75"/>
    <w:rsid w:val="007861A7"/>
    <w:rsid w:val="007A0A1C"/>
    <w:rsid w:val="007A0E19"/>
    <w:rsid w:val="007C2733"/>
    <w:rsid w:val="007D42D8"/>
    <w:rsid w:val="008069AA"/>
    <w:rsid w:val="008265DD"/>
    <w:rsid w:val="008273F3"/>
    <w:rsid w:val="00840986"/>
    <w:rsid w:val="00840C83"/>
    <w:rsid w:val="0085202E"/>
    <w:rsid w:val="008564A1"/>
    <w:rsid w:val="0086117A"/>
    <w:rsid w:val="00865174"/>
    <w:rsid w:val="00871302"/>
    <w:rsid w:val="008750E3"/>
    <w:rsid w:val="0087556A"/>
    <w:rsid w:val="0087691E"/>
    <w:rsid w:val="0087771F"/>
    <w:rsid w:val="0089395C"/>
    <w:rsid w:val="008D0AD6"/>
    <w:rsid w:val="008D2544"/>
    <w:rsid w:val="008F2DF2"/>
    <w:rsid w:val="009126E3"/>
    <w:rsid w:val="00923671"/>
    <w:rsid w:val="0092445F"/>
    <w:rsid w:val="00926410"/>
    <w:rsid w:val="0094361A"/>
    <w:rsid w:val="00947F9B"/>
    <w:rsid w:val="009569F2"/>
    <w:rsid w:val="00956BB2"/>
    <w:rsid w:val="0096581B"/>
    <w:rsid w:val="0097673B"/>
    <w:rsid w:val="00983739"/>
    <w:rsid w:val="00995B77"/>
    <w:rsid w:val="009A0605"/>
    <w:rsid w:val="009A4C7E"/>
    <w:rsid w:val="009B16D6"/>
    <w:rsid w:val="009E216F"/>
    <w:rsid w:val="009E7D90"/>
    <w:rsid w:val="00A04598"/>
    <w:rsid w:val="00A17AEC"/>
    <w:rsid w:val="00A31079"/>
    <w:rsid w:val="00A51C7A"/>
    <w:rsid w:val="00A54AF0"/>
    <w:rsid w:val="00A61BE2"/>
    <w:rsid w:val="00A81D77"/>
    <w:rsid w:val="00A83525"/>
    <w:rsid w:val="00A8781E"/>
    <w:rsid w:val="00A9221D"/>
    <w:rsid w:val="00A976BE"/>
    <w:rsid w:val="00AA5B4C"/>
    <w:rsid w:val="00AA657C"/>
    <w:rsid w:val="00AB0AC7"/>
    <w:rsid w:val="00AD0635"/>
    <w:rsid w:val="00AD3F0F"/>
    <w:rsid w:val="00AE5C62"/>
    <w:rsid w:val="00AF118A"/>
    <w:rsid w:val="00AF24A0"/>
    <w:rsid w:val="00B00EBB"/>
    <w:rsid w:val="00B16E88"/>
    <w:rsid w:val="00B45878"/>
    <w:rsid w:val="00B82658"/>
    <w:rsid w:val="00B87812"/>
    <w:rsid w:val="00BC70C5"/>
    <w:rsid w:val="00BD45D9"/>
    <w:rsid w:val="00BE397F"/>
    <w:rsid w:val="00BE73F9"/>
    <w:rsid w:val="00C01AC0"/>
    <w:rsid w:val="00C0552C"/>
    <w:rsid w:val="00C07279"/>
    <w:rsid w:val="00C10E76"/>
    <w:rsid w:val="00C445A7"/>
    <w:rsid w:val="00C7439B"/>
    <w:rsid w:val="00C93F1B"/>
    <w:rsid w:val="00CB4B4B"/>
    <w:rsid w:val="00CD47F4"/>
    <w:rsid w:val="00CE25A1"/>
    <w:rsid w:val="00CE7455"/>
    <w:rsid w:val="00D01150"/>
    <w:rsid w:val="00D01FA0"/>
    <w:rsid w:val="00D12B2F"/>
    <w:rsid w:val="00D20569"/>
    <w:rsid w:val="00D23B41"/>
    <w:rsid w:val="00D32A3C"/>
    <w:rsid w:val="00D439B3"/>
    <w:rsid w:val="00D55ACC"/>
    <w:rsid w:val="00D62353"/>
    <w:rsid w:val="00D65CEA"/>
    <w:rsid w:val="00D67C0D"/>
    <w:rsid w:val="00D714F4"/>
    <w:rsid w:val="00D80908"/>
    <w:rsid w:val="00D8727D"/>
    <w:rsid w:val="00D8778C"/>
    <w:rsid w:val="00DA1C16"/>
    <w:rsid w:val="00DA374D"/>
    <w:rsid w:val="00DB7F9F"/>
    <w:rsid w:val="00DD3553"/>
    <w:rsid w:val="00DD7201"/>
    <w:rsid w:val="00DE03DB"/>
    <w:rsid w:val="00DE3C1B"/>
    <w:rsid w:val="00DE52E1"/>
    <w:rsid w:val="00DE6707"/>
    <w:rsid w:val="00DE734F"/>
    <w:rsid w:val="00DF3D12"/>
    <w:rsid w:val="00DF4B52"/>
    <w:rsid w:val="00E12E80"/>
    <w:rsid w:val="00E17DCF"/>
    <w:rsid w:val="00E21761"/>
    <w:rsid w:val="00E523BE"/>
    <w:rsid w:val="00E709D2"/>
    <w:rsid w:val="00E82266"/>
    <w:rsid w:val="00E85602"/>
    <w:rsid w:val="00EA456C"/>
    <w:rsid w:val="00ED1F35"/>
    <w:rsid w:val="00EE6398"/>
    <w:rsid w:val="00EE7A91"/>
    <w:rsid w:val="00EF46B3"/>
    <w:rsid w:val="00F064D9"/>
    <w:rsid w:val="00F25616"/>
    <w:rsid w:val="00F517CA"/>
    <w:rsid w:val="00F5399A"/>
    <w:rsid w:val="00F55023"/>
    <w:rsid w:val="00F56D6C"/>
    <w:rsid w:val="00F73E6D"/>
    <w:rsid w:val="00F93225"/>
    <w:rsid w:val="00FA0071"/>
    <w:rsid w:val="00FA4B56"/>
    <w:rsid w:val="00FA5F0E"/>
    <w:rsid w:val="00FA70D3"/>
    <w:rsid w:val="00FC4E5C"/>
    <w:rsid w:val="00FC5669"/>
    <w:rsid w:val="00FE3907"/>
    <w:rsid w:val="00FE44D5"/>
    <w:rsid w:val="00F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ED26B"/>
  <w15:chartTrackingRefBased/>
  <w15:docId w15:val="{6BE3EC50-8B27-446F-8CB1-D1B3FE4C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9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B"/>
    <w:rPr>
      <w:rFonts w:ascii="Segoe UI" w:hAnsi="Segoe UI" w:cs="Segoe UI"/>
      <w:sz w:val="18"/>
      <w:szCs w:val="18"/>
    </w:rPr>
  </w:style>
  <w:style w:type="character" w:styleId="CommentReference">
    <w:name w:val="annotation reference"/>
    <w:basedOn w:val="DefaultParagraphFont"/>
    <w:uiPriority w:val="99"/>
    <w:semiHidden/>
    <w:unhideWhenUsed/>
    <w:rsid w:val="008069AA"/>
    <w:rPr>
      <w:sz w:val="16"/>
      <w:szCs w:val="16"/>
    </w:rPr>
  </w:style>
  <w:style w:type="paragraph" w:styleId="CommentText">
    <w:name w:val="annotation text"/>
    <w:basedOn w:val="Normal"/>
    <w:link w:val="CommentTextChar"/>
    <w:uiPriority w:val="99"/>
    <w:semiHidden/>
    <w:unhideWhenUsed/>
    <w:rsid w:val="008069AA"/>
    <w:pPr>
      <w:spacing w:line="240" w:lineRule="auto"/>
    </w:pPr>
    <w:rPr>
      <w:sz w:val="20"/>
      <w:szCs w:val="20"/>
    </w:rPr>
  </w:style>
  <w:style w:type="character" w:customStyle="1" w:styleId="CommentTextChar">
    <w:name w:val="Comment Text Char"/>
    <w:basedOn w:val="DefaultParagraphFont"/>
    <w:link w:val="CommentText"/>
    <w:uiPriority w:val="99"/>
    <w:semiHidden/>
    <w:rsid w:val="008069AA"/>
    <w:rPr>
      <w:sz w:val="20"/>
      <w:szCs w:val="20"/>
    </w:rPr>
  </w:style>
  <w:style w:type="paragraph" w:styleId="CommentSubject">
    <w:name w:val="annotation subject"/>
    <w:basedOn w:val="CommentText"/>
    <w:next w:val="CommentText"/>
    <w:link w:val="CommentSubjectChar"/>
    <w:uiPriority w:val="99"/>
    <w:semiHidden/>
    <w:unhideWhenUsed/>
    <w:rsid w:val="008069AA"/>
    <w:rPr>
      <w:b/>
      <w:bCs/>
    </w:rPr>
  </w:style>
  <w:style w:type="character" w:customStyle="1" w:styleId="CommentSubjectChar">
    <w:name w:val="Comment Subject Char"/>
    <w:basedOn w:val="CommentTextChar"/>
    <w:link w:val="CommentSubject"/>
    <w:uiPriority w:val="99"/>
    <w:semiHidden/>
    <w:rsid w:val="008069AA"/>
    <w:rPr>
      <w:b/>
      <w:bCs/>
      <w:sz w:val="20"/>
      <w:szCs w:val="20"/>
    </w:rPr>
  </w:style>
  <w:style w:type="paragraph" w:styleId="Header">
    <w:name w:val="header"/>
    <w:basedOn w:val="Normal"/>
    <w:link w:val="HeaderChar"/>
    <w:uiPriority w:val="99"/>
    <w:unhideWhenUsed/>
    <w:rsid w:val="0007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DF"/>
  </w:style>
  <w:style w:type="paragraph" w:styleId="Footer">
    <w:name w:val="footer"/>
    <w:basedOn w:val="Normal"/>
    <w:link w:val="FooterChar"/>
    <w:uiPriority w:val="99"/>
    <w:unhideWhenUsed/>
    <w:rsid w:val="0007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DF"/>
  </w:style>
  <w:style w:type="paragraph" w:styleId="NormalWeb">
    <w:name w:val="Normal (Web)"/>
    <w:basedOn w:val="Normal"/>
    <w:uiPriority w:val="99"/>
    <w:semiHidden/>
    <w:unhideWhenUsed/>
    <w:rsid w:val="005F21B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F4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B52"/>
    <w:rPr>
      <w:sz w:val="20"/>
      <w:szCs w:val="20"/>
    </w:rPr>
  </w:style>
  <w:style w:type="character" w:styleId="FootnoteReference">
    <w:name w:val="footnote reference"/>
    <w:basedOn w:val="DefaultParagraphFont"/>
    <w:uiPriority w:val="99"/>
    <w:semiHidden/>
    <w:unhideWhenUsed/>
    <w:rsid w:val="00DF4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1933">
      <w:bodyDiv w:val="1"/>
      <w:marLeft w:val="0"/>
      <w:marRight w:val="0"/>
      <w:marTop w:val="0"/>
      <w:marBottom w:val="0"/>
      <w:divBdr>
        <w:top w:val="none" w:sz="0" w:space="0" w:color="auto"/>
        <w:left w:val="none" w:sz="0" w:space="0" w:color="auto"/>
        <w:bottom w:val="none" w:sz="0" w:space="0" w:color="auto"/>
        <w:right w:val="none" w:sz="0" w:space="0" w:color="auto"/>
      </w:divBdr>
      <w:divsChild>
        <w:div w:id="1711687562">
          <w:marLeft w:val="547"/>
          <w:marRight w:val="0"/>
          <w:marTop w:val="0"/>
          <w:marBottom w:val="120"/>
          <w:divBdr>
            <w:top w:val="none" w:sz="0" w:space="0" w:color="auto"/>
            <w:left w:val="none" w:sz="0" w:space="0" w:color="auto"/>
            <w:bottom w:val="none" w:sz="0" w:space="0" w:color="auto"/>
            <w:right w:val="none" w:sz="0" w:space="0" w:color="auto"/>
          </w:divBdr>
        </w:div>
      </w:divsChild>
    </w:div>
    <w:div w:id="669526872">
      <w:bodyDiv w:val="1"/>
      <w:marLeft w:val="0"/>
      <w:marRight w:val="0"/>
      <w:marTop w:val="0"/>
      <w:marBottom w:val="0"/>
      <w:divBdr>
        <w:top w:val="none" w:sz="0" w:space="0" w:color="auto"/>
        <w:left w:val="none" w:sz="0" w:space="0" w:color="auto"/>
        <w:bottom w:val="none" w:sz="0" w:space="0" w:color="auto"/>
        <w:right w:val="none" w:sz="0" w:space="0" w:color="auto"/>
      </w:divBdr>
      <w:divsChild>
        <w:div w:id="549536600">
          <w:marLeft w:val="547"/>
          <w:marRight w:val="0"/>
          <w:marTop w:val="0"/>
          <w:marBottom w:val="60"/>
          <w:divBdr>
            <w:top w:val="none" w:sz="0" w:space="0" w:color="auto"/>
            <w:left w:val="none" w:sz="0" w:space="0" w:color="auto"/>
            <w:bottom w:val="none" w:sz="0" w:space="0" w:color="auto"/>
            <w:right w:val="none" w:sz="0" w:space="0" w:color="auto"/>
          </w:divBdr>
        </w:div>
        <w:div w:id="1182283336">
          <w:marLeft w:val="274"/>
          <w:marRight w:val="0"/>
          <w:marTop w:val="0"/>
          <w:marBottom w:val="60"/>
          <w:divBdr>
            <w:top w:val="none" w:sz="0" w:space="0" w:color="auto"/>
            <w:left w:val="none" w:sz="0" w:space="0" w:color="auto"/>
            <w:bottom w:val="none" w:sz="0" w:space="0" w:color="auto"/>
            <w:right w:val="none" w:sz="0" w:space="0" w:color="auto"/>
          </w:divBdr>
        </w:div>
        <w:div w:id="1450706495">
          <w:marLeft w:val="547"/>
          <w:marRight w:val="0"/>
          <w:marTop w:val="0"/>
          <w:marBottom w:val="60"/>
          <w:divBdr>
            <w:top w:val="none" w:sz="0" w:space="0" w:color="auto"/>
            <w:left w:val="none" w:sz="0" w:space="0" w:color="auto"/>
            <w:bottom w:val="none" w:sz="0" w:space="0" w:color="auto"/>
            <w:right w:val="none" w:sz="0" w:space="0" w:color="auto"/>
          </w:divBdr>
        </w:div>
        <w:div w:id="1603146620">
          <w:marLeft w:val="547"/>
          <w:marRight w:val="0"/>
          <w:marTop w:val="0"/>
          <w:marBottom w:val="60"/>
          <w:divBdr>
            <w:top w:val="none" w:sz="0" w:space="0" w:color="auto"/>
            <w:left w:val="none" w:sz="0" w:space="0" w:color="auto"/>
            <w:bottom w:val="none" w:sz="0" w:space="0" w:color="auto"/>
            <w:right w:val="none" w:sz="0" w:space="0" w:color="auto"/>
          </w:divBdr>
        </w:div>
      </w:divsChild>
    </w:div>
    <w:div w:id="904998621">
      <w:bodyDiv w:val="1"/>
      <w:marLeft w:val="0"/>
      <w:marRight w:val="0"/>
      <w:marTop w:val="0"/>
      <w:marBottom w:val="0"/>
      <w:divBdr>
        <w:top w:val="none" w:sz="0" w:space="0" w:color="auto"/>
        <w:left w:val="none" w:sz="0" w:space="0" w:color="auto"/>
        <w:bottom w:val="none" w:sz="0" w:space="0" w:color="auto"/>
        <w:right w:val="none" w:sz="0" w:space="0" w:color="auto"/>
      </w:divBdr>
    </w:div>
    <w:div w:id="1115052066">
      <w:bodyDiv w:val="1"/>
      <w:marLeft w:val="0"/>
      <w:marRight w:val="0"/>
      <w:marTop w:val="0"/>
      <w:marBottom w:val="0"/>
      <w:divBdr>
        <w:top w:val="none" w:sz="0" w:space="0" w:color="auto"/>
        <w:left w:val="none" w:sz="0" w:space="0" w:color="auto"/>
        <w:bottom w:val="none" w:sz="0" w:space="0" w:color="auto"/>
        <w:right w:val="none" w:sz="0" w:space="0" w:color="auto"/>
      </w:divBdr>
      <w:divsChild>
        <w:div w:id="315228609">
          <w:marLeft w:val="274"/>
          <w:marRight w:val="0"/>
          <w:marTop w:val="0"/>
          <w:marBottom w:val="0"/>
          <w:divBdr>
            <w:top w:val="none" w:sz="0" w:space="0" w:color="auto"/>
            <w:left w:val="none" w:sz="0" w:space="0" w:color="auto"/>
            <w:bottom w:val="none" w:sz="0" w:space="0" w:color="auto"/>
            <w:right w:val="none" w:sz="0" w:space="0" w:color="auto"/>
          </w:divBdr>
        </w:div>
      </w:divsChild>
    </w:div>
    <w:div w:id="2098625866">
      <w:bodyDiv w:val="1"/>
      <w:marLeft w:val="0"/>
      <w:marRight w:val="0"/>
      <w:marTop w:val="0"/>
      <w:marBottom w:val="0"/>
      <w:divBdr>
        <w:top w:val="none" w:sz="0" w:space="0" w:color="auto"/>
        <w:left w:val="none" w:sz="0" w:space="0" w:color="auto"/>
        <w:bottom w:val="none" w:sz="0" w:space="0" w:color="auto"/>
        <w:right w:val="none" w:sz="0" w:space="0" w:color="auto"/>
      </w:divBdr>
      <w:divsChild>
        <w:div w:id="329334551">
          <w:marLeft w:val="274"/>
          <w:marRight w:val="0"/>
          <w:marTop w:val="0"/>
          <w:marBottom w:val="120"/>
          <w:divBdr>
            <w:top w:val="none" w:sz="0" w:space="0" w:color="auto"/>
            <w:left w:val="none" w:sz="0" w:space="0" w:color="auto"/>
            <w:bottom w:val="none" w:sz="0" w:space="0" w:color="auto"/>
            <w:right w:val="none" w:sz="0" w:space="0" w:color="auto"/>
          </w:divBdr>
        </w:div>
        <w:div w:id="411240337">
          <w:marLeft w:val="274"/>
          <w:marRight w:val="0"/>
          <w:marTop w:val="0"/>
          <w:marBottom w:val="120"/>
          <w:divBdr>
            <w:top w:val="none" w:sz="0" w:space="0" w:color="auto"/>
            <w:left w:val="none" w:sz="0" w:space="0" w:color="auto"/>
            <w:bottom w:val="none" w:sz="0" w:space="0" w:color="auto"/>
            <w:right w:val="none" w:sz="0" w:space="0" w:color="auto"/>
          </w:divBdr>
        </w:div>
        <w:div w:id="1157304638">
          <w:marLeft w:val="547"/>
          <w:marRight w:val="0"/>
          <w:marTop w:val="0"/>
          <w:marBottom w:val="120"/>
          <w:divBdr>
            <w:top w:val="none" w:sz="0" w:space="0" w:color="auto"/>
            <w:left w:val="none" w:sz="0" w:space="0" w:color="auto"/>
            <w:bottom w:val="none" w:sz="0" w:space="0" w:color="auto"/>
            <w:right w:val="none" w:sz="0" w:space="0" w:color="auto"/>
          </w:divBdr>
        </w:div>
        <w:div w:id="1229147059">
          <w:marLeft w:val="547"/>
          <w:marRight w:val="0"/>
          <w:marTop w:val="0"/>
          <w:marBottom w:val="120"/>
          <w:divBdr>
            <w:top w:val="none" w:sz="0" w:space="0" w:color="auto"/>
            <w:left w:val="none" w:sz="0" w:space="0" w:color="auto"/>
            <w:bottom w:val="none" w:sz="0" w:space="0" w:color="auto"/>
            <w:right w:val="none" w:sz="0" w:space="0" w:color="auto"/>
          </w:divBdr>
        </w:div>
        <w:div w:id="1394162929">
          <w:marLeft w:val="274"/>
          <w:marRight w:val="0"/>
          <w:marTop w:val="0"/>
          <w:marBottom w:val="120"/>
          <w:divBdr>
            <w:top w:val="none" w:sz="0" w:space="0" w:color="auto"/>
            <w:left w:val="none" w:sz="0" w:space="0" w:color="auto"/>
            <w:bottom w:val="none" w:sz="0" w:space="0" w:color="auto"/>
            <w:right w:val="none" w:sz="0" w:space="0" w:color="auto"/>
          </w:divBdr>
        </w:div>
        <w:div w:id="1781682412">
          <w:marLeft w:val="547"/>
          <w:marRight w:val="0"/>
          <w:marTop w:val="0"/>
          <w:marBottom w:val="120"/>
          <w:divBdr>
            <w:top w:val="none" w:sz="0" w:space="0" w:color="auto"/>
            <w:left w:val="none" w:sz="0" w:space="0" w:color="auto"/>
            <w:bottom w:val="none" w:sz="0" w:space="0" w:color="auto"/>
            <w:right w:val="none" w:sz="0" w:space="0" w:color="auto"/>
          </w:divBdr>
        </w:div>
        <w:div w:id="213209160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106ED144AAF4C990E98A827473D85" ma:contentTypeVersion="2" ma:contentTypeDescription="Create a new document." ma:contentTypeScope="" ma:versionID="0558fa644024a2646dda1b71e0b36ded">
  <xsd:schema xmlns:xsd="http://www.w3.org/2001/XMLSchema" xmlns:xs="http://www.w3.org/2001/XMLSchema" xmlns:p="http://schemas.microsoft.com/office/2006/metadata/properties" xmlns:ns2="e945302d-9a08-4d25-a646-9f45423b29f9" targetNamespace="http://schemas.microsoft.com/office/2006/metadata/properties" ma:root="true" ma:fieldsID="47ce16c7765b6c2f47326c24e86ed518" ns2:_="">
    <xsd:import namespace="e945302d-9a08-4d25-a646-9f45423b29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5302d-9a08-4d25-a646-9f45423b2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2FA3-0221-4E7C-AC27-ABFBE1F090BE}">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e945302d-9a08-4d25-a646-9f45423b29f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705A42-EA52-46CA-9BFF-E9C4D107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5302d-9a08-4d25-a646-9f45423b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778D8-2EE0-4547-AD44-11C959D68C28}">
  <ds:schemaRefs>
    <ds:schemaRef ds:uri="http://schemas.microsoft.com/sharepoint/v3/contenttype/forms"/>
  </ds:schemaRefs>
</ds:datastoreItem>
</file>

<file path=customXml/itemProps4.xml><?xml version="1.0" encoding="utf-8"?>
<ds:datastoreItem xmlns:ds="http://schemas.openxmlformats.org/officeDocument/2006/customXml" ds:itemID="{BBDE142A-65FA-4D80-8EA8-68F94B2C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DTSC Policy and Program Support Workload Key Findings</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DTSC Policy and Program Support Workload Key Findings</dc:title>
  <dc:subject/>
  <dc:creator>Simran Sunak</dc:creator>
  <cp:keywords/>
  <dc:description/>
  <cp:lastModifiedBy>Numazu, Jane@DTSC</cp:lastModifiedBy>
  <cp:revision>4</cp:revision>
  <cp:lastPrinted>2020-03-12T19:33:00Z</cp:lastPrinted>
  <dcterms:created xsi:type="dcterms:W3CDTF">2021-01-29T20:52:00Z</dcterms:created>
  <dcterms:modified xsi:type="dcterms:W3CDTF">2021-02-01T19:41:00Z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0x0101007D0106ED144AAF4C990E98A827473D85</vt:lpwstr>
  </property>
</Properties>
</file>