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D028F" w14:textId="77777777" w:rsidR="00D811CD" w:rsidRPr="000408E5" w:rsidRDefault="00D811CD" w:rsidP="00D811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08E5">
        <w:rPr>
          <w:rFonts w:ascii="Arial" w:hAnsi="Arial" w:cs="Arial"/>
          <w:b/>
          <w:sz w:val="24"/>
          <w:szCs w:val="24"/>
        </w:rPr>
        <w:t>Safer Consumer Products Program</w:t>
      </w:r>
    </w:p>
    <w:p w14:paraId="47D7FDF7" w14:textId="77777777" w:rsidR="00D811CD" w:rsidRPr="000408E5" w:rsidRDefault="00D811CD" w:rsidP="00D811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408E5">
        <w:rPr>
          <w:rFonts w:ascii="Arial" w:hAnsi="Arial" w:cs="Arial"/>
          <w:b/>
          <w:sz w:val="24"/>
          <w:szCs w:val="24"/>
        </w:rPr>
        <w:t>Workload Analysis for</w:t>
      </w:r>
      <w:r>
        <w:rPr>
          <w:rFonts w:ascii="Arial" w:hAnsi="Arial" w:cs="Arial"/>
          <w:b/>
          <w:sz w:val="24"/>
          <w:szCs w:val="24"/>
        </w:rPr>
        <w:t xml:space="preserve"> FY</w:t>
      </w:r>
      <w:r w:rsidRPr="000408E5">
        <w:rPr>
          <w:rFonts w:ascii="Arial" w:hAnsi="Arial" w:cs="Arial"/>
          <w:b/>
          <w:sz w:val="24"/>
          <w:szCs w:val="24"/>
        </w:rPr>
        <w:t xml:space="preserve"> 2018-19</w:t>
      </w:r>
    </w:p>
    <w:p w14:paraId="4436DAA6" w14:textId="77777777" w:rsidR="00D811CD" w:rsidRPr="000408E5" w:rsidRDefault="00D811CD" w:rsidP="00D811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408E5">
        <w:rPr>
          <w:rFonts w:ascii="Arial" w:hAnsi="Arial" w:cs="Arial"/>
          <w:sz w:val="24"/>
          <w:szCs w:val="24"/>
        </w:rPr>
        <w:t>Key Findings</w:t>
      </w:r>
    </w:p>
    <w:p w14:paraId="1D8F01EB" w14:textId="77777777" w:rsidR="00490555" w:rsidRDefault="00490555" w:rsidP="003736BF">
      <w:pPr>
        <w:spacing w:after="120"/>
        <w:rPr>
          <w:rFonts w:ascii="Arial" w:hAnsi="Arial" w:cs="Arial"/>
          <w:b/>
          <w:bCs/>
          <w:sz w:val="24"/>
          <w:szCs w:val="24"/>
        </w:rPr>
      </w:pPr>
    </w:p>
    <w:p w14:paraId="0FDA64B1" w14:textId="25F0AFA5" w:rsidR="00C46B98" w:rsidRPr="006F4BBA" w:rsidRDefault="00A1285C" w:rsidP="003736BF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6F4BBA">
        <w:rPr>
          <w:rFonts w:ascii="Arial" w:hAnsi="Arial" w:cs="Arial"/>
          <w:b/>
          <w:bCs/>
          <w:sz w:val="24"/>
          <w:szCs w:val="24"/>
        </w:rPr>
        <w:t>Background</w:t>
      </w:r>
    </w:p>
    <w:p w14:paraId="2536E2C9" w14:textId="220A4A7F" w:rsidR="002B11FD" w:rsidRPr="006F4BBA" w:rsidRDefault="008D3513" w:rsidP="000408E5">
      <w:pPr>
        <w:spacing w:after="120"/>
        <w:rPr>
          <w:rFonts w:ascii="Arial" w:hAnsi="Arial" w:cs="Arial"/>
          <w:sz w:val="24"/>
          <w:szCs w:val="24"/>
        </w:rPr>
      </w:pPr>
      <w:r w:rsidRPr="006F4BBA">
        <w:rPr>
          <w:rFonts w:ascii="Arial" w:hAnsi="Arial" w:cs="Arial"/>
          <w:sz w:val="24"/>
          <w:szCs w:val="24"/>
        </w:rPr>
        <w:t xml:space="preserve">The California </w:t>
      </w:r>
      <w:r w:rsidR="001C67A1" w:rsidRPr="006F4BBA">
        <w:rPr>
          <w:rFonts w:ascii="Arial" w:hAnsi="Arial" w:cs="Arial"/>
          <w:sz w:val="24"/>
          <w:szCs w:val="24"/>
        </w:rPr>
        <w:t>L</w:t>
      </w:r>
      <w:r w:rsidRPr="006F4BBA">
        <w:rPr>
          <w:rFonts w:ascii="Arial" w:hAnsi="Arial" w:cs="Arial"/>
          <w:sz w:val="24"/>
          <w:szCs w:val="24"/>
        </w:rPr>
        <w:t>egislature passed innovative “</w:t>
      </w:r>
      <w:r w:rsidR="001C67A1" w:rsidRPr="006F4BBA">
        <w:rPr>
          <w:rFonts w:ascii="Arial" w:hAnsi="Arial" w:cs="Arial"/>
          <w:sz w:val="24"/>
          <w:szCs w:val="24"/>
        </w:rPr>
        <w:t>G</w:t>
      </w:r>
      <w:r w:rsidRPr="006F4BBA">
        <w:rPr>
          <w:rFonts w:ascii="Arial" w:hAnsi="Arial" w:cs="Arial"/>
          <w:sz w:val="24"/>
          <w:szCs w:val="24"/>
        </w:rPr>
        <w:t xml:space="preserve">reen </w:t>
      </w:r>
      <w:r w:rsidR="001C67A1" w:rsidRPr="006F4BBA">
        <w:rPr>
          <w:rFonts w:ascii="Arial" w:hAnsi="Arial" w:cs="Arial"/>
          <w:sz w:val="24"/>
          <w:szCs w:val="24"/>
        </w:rPr>
        <w:t>C</w:t>
      </w:r>
      <w:r w:rsidRPr="006F4BBA">
        <w:rPr>
          <w:rFonts w:ascii="Arial" w:hAnsi="Arial" w:cs="Arial"/>
          <w:sz w:val="24"/>
          <w:szCs w:val="24"/>
        </w:rPr>
        <w:t>hemistry” laws</w:t>
      </w:r>
      <w:r w:rsidR="00D65A40" w:rsidRPr="006F4BBA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Pr="006F4BBA">
        <w:rPr>
          <w:rFonts w:ascii="Arial" w:hAnsi="Arial" w:cs="Arial"/>
          <w:sz w:val="24"/>
          <w:szCs w:val="24"/>
        </w:rPr>
        <w:t xml:space="preserve"> requiring DTSC </w:t>
      </w:r>
      <w:r w:rsidR="0084749B" w:rsidRPr="006F4BBA">
        <w:rPr>
          <w:rFonts w:ascii="Arial" w:hAnsi="Arial" w:cs="Arial"/>
          <w:sz w:val="24"/>
          <w:szCs w:val="24"/>
        </w:rPr>
        <w:t xml:space="preserve">to </w:t>
      </w:r>
      <w:r w:rsidRPr="006F4BBA">
        <w:rPr>
          <w:rFonts w:ascii="Arial" w:hAnsi="Arial" w:cs="Arial"/>
          <w:sz w:val="24"/>
          <w:szCs w:val="24"/>
        </w:rPr>
        <w:t xml:space="preserve">adopt regulations creating a program to identify chemicals of concern in products, evaluate their potential alternatives, </w:t>
      </w:r>
      <w:r w:rsidR="00282559" w:rsidRPr="006F4BBA">
        <w:rPr>
          <w:rFonts w:ascii="Arial" w:hAnsi="Arial" w:cs="Arial"/>
          <w:sz w:val="24"/>
          <w:szCs w:val="24"/>
        </w:rPr>
        <w:t xml:space="preserve">and </w:t>
      </w:r>
      <w:r w:rsidRPr="006F4BBA">
        <w:rPr>
          <w:rFonts w:ascii="Arial" w:hAnsi="Arial" w:cs="Arial"/>
          <w:sz w:val="24"/>
          <w:szCs w:val="24"/>
        </w:rPr>
        <w:t xml:space="preserve">limit </w:t>
      </w:r>
      <w:r w:rsidR="00282559" w:rsidRPr="006F4BBA">
        <w:rPr>
          <w:rFonts w:ascii="Arial" w:hAnsi="Arial" w:cs="Arial"/>
          <w:sz w:val="24"/>
          <w:szCs w:val="24"/>
        </w:rPr>
        <w:t xml:space="preserve">human and environmental </w:t>
      </w:r>
      <w:r w:rsidRPr="006F4BBA">
        <w:rPr>
          <w:rFonts w:ascii="Arial" w:hAnsi="Arial" w:cs="Arial"/>
          <w:sz w:val="24"/>
          <w:szCs w:val="24"/>
        </w:rPr>
        <w:t>exposure</w:t>
      </w:r>
      <w:r w:rsidR="00282559" w:rsidRPr="006F4BBA">
        <w:rPr>
          <w:rFonts w:ascii="Arial" w:hAnsi="Arial" w:cs="Arial"/>
          <w:sz w:val="24"/>
          <w:szCs w:val="24"/>
        </w:rPr>
        <w:t>s</w:t>
      </w:r>
      <w:r w:rsidRPr="006F4BBA">
        <w:rPr>
          <w:rFonts w:ascii="Arial" w:hAnsi="Arial" w:cs="Arial"/>
          <w:sz w:val="24"/>
          <w:szCs w:val="24"/>
        </w:rPr>
        <w:t xml:space="preserve"> to </w:t>
      </w:r>
      <w:r w:rsidR="00282559" w:rsidRPr="006F4BBA">
        <w:rPr>
          <w:rFonts w:ascii="Arial" w:hAnsi="Arial" w:cs="Arial"/>
          <w:sz w:val="24"/>
          <w:szCs w:val="24"/>
        </w:rPr>
        <w:t xml:space="preserve">those chemicals. </w:t>
      </w:r>
      <w:r w:rsidR="000D5F6A" w:rsidRPr="006F4BBA">
        <w:rPr>
          <w:rFonts w:ascii="Arial" w:hAnsi="Arial" w:cs="Arial"/>
          <w:sz w:val="24"/>
          <w:szCs w:val="24"/>
        </w:rPr>
        <w:t xml:space="preserve">The universe of consumer products </w:t>
      </w:r>
      <w:r w:rsidR="00282559" w:rsidRPr="006F4BBA">
        <w:rPr>
          <w:rFonts w:ascii="Arial" w:hAnsi="Arial" w:cs="Arial"/>
          <w:sz w:val="24"/>
          <w:szCs w:val="24"/>
        </w:rPr>
        <w:t>DTSC was directed to regulate</w:t>
      </w:r>
      <w:r w:rsidR="000D5F6A" w:rsidRPr="006F4BBA">
        <w:rPr>
          <w:rFonts w:ascii="Arial" w:hAnsi="Arial" w:cs="Arial"/>
          <w:sz w:val="24"/>
          <w:szCs w:val="24"/>
        </w:rPr>
        <w:t xml:space="preserve"> is immense; the Green Chemistry laws cover</w:t>
      </w:r>
      <w:r w:rsidR="00CE16A9" w:rsidRPr="006F4BBA">
        <w:rPr>
          <w:rFonts w:ascii="Arial" w:hAnsi="Arial" w:cs="Arial"/>
          <w:sz w:val="24"/>
          <w:szCs w:val="24"/>
        </w:rPr>
        <w:t xml:space="preserve"> virtually</w:t>
      </w:r>
      <w:r w:rsidR="000D5F6A" w:rsidRPr="006F4BBA">
        <w:rPr>
          <w:rFonts w:ascii="Arial" w:hAnsi="Arial" w:cs="Arial"/>
          <w:sz w:val="24"/>
          <w:szCs w:val="24"/>
        </w:rPr>
        <w:t xml:space="preserve"> all</w:t>
      </w:r>
      <w:r w:rsidR="00CE16A9" w:rsidRPr="006F4BBA">
        <w:rPr>
          <w:rFonts w:ascii="Arial" w:hAnsi="Arial" w:cs="Arial"/>
          <w:sz w:val="24"/>
          <w:szCs w:val="24"/>
        </w:rPr>
        <w:t xml:space="preserve"> consumer</w:t>
      </w:r>
      <w:r w:rsidR="000D5F6A" w:rsidRPr="006F4BBA">
        <w:rPr>
          <w:rFonts w:ascii="Arial" w:hAnsi="Arial" w:cs="Arial"/>
          <w:sz w:val="24"/>
          <w:szCs w:val="24"/>
        </w:rPr>
        <w:t xml:space="preserve"> products sold in California</w:t>
      </w:r>
      <w:r w:rsidR="00CE16A9" w:rsidRPr="006F4BBA">
        <w:rPr>
          <w:rFonts w:ascii="Arial" w:hAnsi="Arial" w:cs="Arial"/>
          <w:sz w:val="24"/>
          <w:szCs w:val="24"/>
        </w:rPr>
        <w:t xml:space="preserve"> (the only</w:t>
      </w:r>
      <w:r w:rsidR="000D5F6A" w:rsidRPr="006F4BBA">
        <w:rPr>
          <w:rFonts w:ascii="Arial" w:hAnsi="Arial" w:cs="Arial"/>
          <w:sz w:val="24"/>
          <w:szCs w:val="24"/>
        </w:rPr>
        <w:t xml:space="preserve"> except</w:t>
      </w:r>
      <w:r w:rsidR="00CE16A9" w:rsidRPr="006F4BBA">
        <w:rPr>
          <w:rFonts w:ascii="Arial" w:hAnsi="Arial" w:cs="Arial"/>
          <w:sz w:val="24"/>
          <w:szCs w:val="24"/>
        </w:rPr>
        <w:t>ions are</w:t>
      </w:r>
      <w:r w:rsidR="000D5F6A" w:rsidRPr="006F4BBA">
        <w:rPr>
          <w:rFonts w:ascii="Arial" w:hAnsi="Arial" w:cs="Arial"/>
          <w:sz w:val="24"/>
          <w:szCs w:val="24"/>
        </w:rPr>
        <w:t xml:space="preserve"> pesticides, food, prescription medicines, medical devices</w:t>
      </w:r>
      <w:r w:rsidR="001C67A1" w:rsidRPr="006F4BBA">
        <w:rPr>
          <w:rFonts w:ascii="Arial" w:hAnsi="Arial" w:cs="Arial"/>
          <w:sz w:val="24"/>
          <w:szCs w:val="24"/>
        </w:rPr>
        <w:t>, and</w:t>
      </w:r>
      <w:r w:rsidR="000D5F6A" w:rsidRPr="006F4BBA">
        <w:rPr>
          <w:rFonts w:ascii="Arial" w:hAnsi="Arial" w:cs="Arial"/>
          <w:sz w:val="24"/>
          <w:szCs w:val="24"/>
        </w:rPr>
        <w:t xml:space="preserve"> dental materials</w:t>
      </w:r>
      <w:r w:rsidR="00CE16A9" w:rsidRPr="006F4BBA">
        <w:rPr>
          <w:rFonts w:ascii="Arial" w:hAnsi="Arial" w:cs="Arial"/>
          <w:sz w:val="24"/>
          <w:szCs w:val="24"/>
        </w:rPr>
        <w:t>)</w:t>
      </w:r>
      <w:r w:rsidR="000D5F6A" w:rsidRPr="006F4BBA">
        <w:rPr>
          <w:rFonts w:ascii="Arial" w:hAnsi="Arial" w:cs="Arial"/>
          <w:sz w:val="24"/>
          <w:szCs w:val="24"/>
        </w:rPr>
        <w:t xml:space="preserve">. There are over 80,000 chemicals used in commerce, </w:t>
      </w:r>
      <w:r w:rsidR="001C67A1" w:rsidRPr="006F4BBA">
        <w:rPr>
          <w:rFonts w:ascii="Arial" w:hAnsi="Arial" w:cs="Arial"/>
          <w:sz w:val="24"/>
          <w:szCs w:val="24"/>
        </w:rPr>
        <w:t xml:space="preserve">of </w:t>
      </w:r>
      <w:r w:rsidR="000D5F6A" w:rsidRPr="006F4BBA">
        <w:rPr>
          <w:rFonts w:ascii="Arial" w:hAnsi="Arial" w:cs="Arial"/>
          <w:sz w:val="24"/>
          <w:szCs w:val="24"/>
        </w:rPr>
        <w:t xml:space="preserve">which </w:t>
      </w:r>
      <w:r w:rsidR="0040055E" w:rsidRPr="006F4BBA">
        <w:rPr>
          <w:rFonts w:ascii="Arial" w:hAnsi="Arial" w:cs="Arial"/>
          <w:sz w:val="24"/>
          <w:szCs w:val="24"/>
        </w:rPr>
        <w:t>the Safer Consumer Products Program (</w:t>
      </w:r>
      <w:r w:rsidR="000D5F6A" w:rsidRPr="006F4BBA">
        <w:rPr>
          <w:rFonts w:ascii="Arial" w:hAnsi="Arial" w:cs="Arial"/>
          <w:sz w:val="24"/>
          <w:szCs w:val="24"/>
        </w:rPr>
        <w:t>SCP</w:t>
      </w:r>
      <w:r w:rsidR="0040055E" w:rsidRPr="006F4BBA">
        <w:rPr>
          <w:rFonts w:ascii="Arial" w:hAnsi="Arial" w:cs="Arial"/>
          <w:sz w:val="24"/>
          <w:szCs w:val="24"/>
        </w:rPr>
        <w:t>)</w:t>
      </w:r>
      <w:r w:rsidR="000D5F6A" w:rsidRPr="006F4BBA">
        <w:rPr>
          <w:rFonts w:ascii="Arial" w:hAnsi="Arial" w:cs="Arial"/>
          <w:sz w:val="24"/>
          <w:szCs w:val="24"/>
        </w:rPr>
        <w:t xml:space="preserve"> </w:t>
      </w:r>
      <w:r w:rsidR="00CE16A9" w:rsidRPr="006F4BBA">
        <w:rPr>
          <w:rFonts w:ascii="Arial" w:hAnsi="Arial" w:cs="Arial"/>
          <w:sz w:val="24"/>
          <w:szCs w:val="24"/>
        </w:rPr>
        <w:t xml:space="preserve">framework regulations </w:t>
      </w:r>
      <w:r w:rsidR="002B11FD" w:rsidRPr="006F4BBA">
        <w:rPr>
          <w:rFonts w:ascii="Arial" w:hAnsi="Arial" w:cs="Arial"/>
          <w:sz w:val="24"/>
          <w:szCs w:val="24"/>
        </w:rPr>
        <w:t>include</w:t>
      </w:r>
      <w:r w:rsidR="00867ABA" w:rsidRPr="006F4BBA">
        <w:rPr>
          <w:rFonts w:ascii="Arial" w:hAnsi="Arial" w:cs="Arial"/>
          <w:sz w:val="24"/>
          <w:szCs w:val="24"/>
        </w:rPr>
        <w:t xml:space="preserve">s </w:t>
      </w:r>
      <w:r w:rsidR="000D5F6A" w:rsidRPr="006F4BBA">
        <w:rPr>
          <w:rFonts w:ascii="Arial" w:hAnsi="Arial" w:cs="Arial"/>
          <w:sz w:val="24"/>
          <w:szCs w:val="24"/>
        </w:rPr>
        <w:t>3,174 as “candidate chemicals” of concern</w:t>
      </w:r>
      <w:r w:rsidR="0077005C" w:rsidRPr="006F4BBA">
        <w:rPr>
          <w:rFonts w:ascii="Arial" w:hAnsi="Arial" w:cs="Arial"/>
          <w:sz w:val="24"/>
          <w:szCs w:val="24"/>
        </w:rPr>
        <w:t xml:space="preserve">. Exposures to these chemicals are known to </w:t>
      </w:r>
      <w:r w:rsidR="0060142C" w:rsidRPr="006F4BBA">
        <w:rPr>
          <w:rFonts w:ascii="Arial" w:hAnsi="Arial" w:cs="Arial"/>
          <w:sz w:val="24"/>
          <w:szCs w:val="24"/>
        </w:rPr>
        <w:t xml:space="preserve">harm people or the environment by causing </w:t>
      </w:r>
      <w:r w:rsidR="0077005C" w:rsidRPr="006F4BBA">
        <w:rPr>
          <w:rFonts w:ascii="Arial" w:hAnsi="Arial" w:cs="Arial"/>
          <w:sz w:val="24"/>
          <w:szCs w:val="24"/>
        </w:rPr>
        <w:t xml:space="preserve">a wide variety </w:t>
      </w:r>
      <w:r w:rsidR="00DF7950" w:rsidRPr="006F4BBA">
        <w:rPr>
          <w:rFonts w:ascii="Arial" w:hAnsi="Arial" w:cs="Arial"/>
          <w:sz w:val="24"/>
          <w:szCs w:val="24"/>
        </w:rPr>
        <w:t xml:space="preserve">of </w:t>
      </w:r>
      <w:r w:rsidR="002B11FD" w:rsidRPr="006F4BBA">
        <w:rPr>
          <w:rFonts w:ascii="Arial" w:hAnsi="Arial" w:cs="Arial"/>
          <w:sz w:val="24"/>
          <w:szCs w:val="24"/>
        </w:rPr>
        <w:t>adverse impacts</w:t>
      </w:r>
      <w:r w:rsidR="00CE16A9" w:rsidRPr="006F4BBA">
        <w:rPr>
          <w:rFonts w:ascii="Arial" w:hAnsi="Arial" w:cs="Arial"/>
          <w:sz w:val="24"/>
          <w:szCs w:val="24"/>
        </w:rPr>
        <w:t>. In humans, these include</w:t>
      </w:r>
      <w:r w:rsidR="0060142C" w:rsidRPr="006F4BBA">
        <w:rPr>
          <w:rFonts w:ascii="Arial" w:hAnsi="Arial" w:cs="Arial"/>
          <w:sz w:val="24"/>
          <w:szCs w:val="24"/>
        </w:rPr>
        <w:t xml:space="preserve"> cancer, asthma, developmental harm, </w:t>
      </w:r>
      <w:r w:rsidR="00CE16A9" w:rsidRPr="006F4BBA">
        <w:rPr>
          <w:rFonts w:ascii="Arial" w:hAnsi="Arial" w:cs="Arial"/>
          <w:sz w:val="24"/>
          <w:szCs w:val="24"/>
        </w:rPr>
        <w:t xml:space="preserve">neurological disease and even death; </w:t>
      </w:r>
      <w:r w:rsidR="002B11FD" w:rsidRPr="006F4BBA">
        <w:rPr>
          <w:rFonts w:ascii="Arial" w:hAnsi="Arial" w:cs="Arial"/>
          <w:sz w:val="24"/>
          <w:szCs w:val="24"/>
        </w:rPr>
        <w:t>in</w:t>
      </w:r>
      <w:r w:rsidR="00CE16A9" w:rsidRPr="006F4BBA">
        <w:rPr>
          <w:rFonts w:ascii="Arial" w:hAnsi="Arial" w:cs="Arial"/>
          <w:sz w:val="24"/>
          <w:szCs w:val="24"/>
        </w:rPr>
        <w:t xml:space="preserve"> the environment, these </w:t>
      </w:r>
      <w:r w:rsidR="002B11FD" w:rsidRPr="006F4BBA">
        <w:rPr>
          <w:rFonts w:ascii="Arial" w:hAnsi="Arial" w:cs="Arial"/>
          <w:sz w:val="24"/>
          <w:szCs w:val="24"/>
        </w:rPr>
        <w:t>chemicals</w:t>
      </w:r>
      <w:r w:rsidR="00CE16A9" w:rsidRPr="006F4BBA">
        <w:rPr>
          <w:rFonts w:ascii="Arial" w:hAnsi="Arial" w:cs="Arial"/>
          <w:sz w:val="24"/>
          <w:szCs w:val="24"/>
        </w:rPr>
        <w:t xml:space="preserve"> can cause </w:t>
      </w:r>
      <w:r w:rsidR="0060142C" w:rsidRPr="006F4BBA">
        <w:rPr>
          <w:rFonts w:ascii="Arial" w:hAnsi="Arial" w:cs="Arial"/>
          <w:sz w:val="24"/>
          <w:szCs w:val="24"/>
        </w:rPr>
        <w:t xml:space="preserve">impairment of water bodies and contamination of drinking water, </w:t>
      </w:r>
      <w:r w:rsidR="00CE16A9" w:rsidRPr="006F4BBA">
        <w:rPr>
          <w:rFonts w:ascii="Arial" w:hAnsi="Arial" w:cs="Arial"/>
          <w:sz w:val="24"/>
          <w:szCs w:val="24"/>
        </w:rPr>
        <w:t>among other impacts</w:t>
      </w:r>
      <w:r w:rsidR="0060142C" w:rsidRPr="006F4BBA">
        <w:rPr>
          <w:rFonts w:ascii="Arial" w:hAnsi="Arial" w:cs="Arial"/>
          <w:sz w:val="24"/>
          <w:szCs w:val="24"/>
        </w:rPr>
        <w:t xml:space="preserve">. </w:t>
      </w:r>
      <w:r w:rsidR="000D5F6A" w:rsidRPr="006F4BBA">
        <w:rPr>
          <w:rFonts w:ascii="Arial" w:hAnsi="Arial" w:cs="Arial"/>
          <w:sz w:val="24"/>
          <w:szCs w:val="24"/>
        </w:rPr>
        <w:t xml:space="preserve"> </w:t>
      </w:r>
    </w:p>
    <w:p w14:paraId="34FE79EF" w14:textId="5B07FF3A" w:rsidR="002B11FD" w:rsidRPr="006F4BBA" w:rsidRDefault="002B11FD" w:rsidP="000408E5">
      <w:pPr>
        <w:spacing w:after="120"/>
        <w:rPr>
          <w:rFonts w:ascii="Arial" w:hAnsi="Arial" w:cs="Arial"/>
          <w:sz w:val="24"/>
          <w:szCs w:val="24"/>
        </w:rPr>
      </w:pPr>
      <w:r w:rsidRPr="006F4BBA">
        <w:rPr>
          <w:rFonts w:ascii="Arial" w:hAnsi="Arial" w:cs="Arial"/>
          <w:sz w:val="24"/>
          <w:szCs w:val="24"/>
        </w:rPr>
        <w:t xml:space="preserve">In October 2013, after five years of extensive stakeholder engagement, DTSC adopted the Safer Consumer Products regulations, which created a four-step regulatory framework for implementing the statutory mandates. </w:t>
      </w:r>
    </w:p>
    <w:p w14:paraId="21A075D2" w14:textId="77777777" w:rsidR="006F4BBA" w:rsidRDefault="006F4BBA" w:rsidP="003736BF">
      <w:pPr>
        <w:spacing w:after="120"/>
        <w:rPr>
          <w:rFonts w:ascii="Arial" w:hAnsi="Arial" w:cs="Arial"/>
          <w:b/>
          <w:bCs/>
          <w:sz w:val="24"/>
          <w:szCs w:val="24"/>
        </w:rPr>
      </w:pPr>
    </w:p>
    <w:p w14:paraId="3785627D" w14:textId="577E416A" w:rsidR="00A1285C" w:rsidRPr="006F4BBA" w:rsidRDefault="00A1285C" w:rsidP="003736BF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6F4BBA">
        <w:rPr>
          <w:rFonts w:ascii="Arial" w:hAnsi="Arial" w:cs="Arial"/>
          <w:b/>
          <w:bCs/>
          <w:sz w:val="24"/>
          <w:szCs w:val="24"/>
        </w:rPr>
        <w:t>Analysis</w:t>
      </w:r>
    </w:p>
    <w:p w14:paraId="6842B19A" w14:textId="1915699F" w:rsidR="00CF4D65" w:rsidRPr="006F4BBA" w:rsidRDefault="00CF4D65" w:rsidP="000408E5">
      <w:pPr>
        <w:spacing w:after="120"/>
        <w:rPr>
          <w:rFonts w:ascii="Arial" w:eastAsia="Times New Roman" w:hAnsi="Arial" w:cs="Arial"/>
          <w:sz w:val="24"/>
          <w:szCs w:val="24"/>
        </w:rPr>
      </w:pPr>
      <w:r w:rsidRPr="006F4BBA">
        <w:rPr>
          <w:rFonts w:ascii="Arial" w:eastAsia="Times New Roman" w:hAnsi="Arial" w:cs="Arial"/>
          <w:sz w:val="24"/>
          <w:szCs w:val="24"/>
        </w:rPr>
        <w:t>SCP’s current resources have supported building a new, innovative program with a science-based approach while leveraging multi</w:t>
      </w:r>
      <w:r w:rsidR="003736BF" w:rsidRPr="006F4BBA">
        <w:rPr>
          <w:rFonts w:ascii="Arial" w:eastAsia="Times New Roman" w:hAnsi="Arial" w:cs="Arial"/>
          <w:sz w:val="24"/>
          <w:szCs w:val="24"/>
        </w:rPr>
        <w:t>million-dollar</w:t>
      </w:r>
      <w:r w:rsidRPr="006F4BBA">
        <w:rPr>
          <w:rFonts w:ascii="Arial" w:eastAsia="Times New Roman" w:hAnsi="Arial" w:cs="Arial"/>
          <w:sz w:val="24"/>
          <w:szCs w:val="24"/>
        </w:rPr>
        <w:t xml:space="preserve"> markets and manufacturers’ interests. Along with multiple new products in the queue, SCP successfully regulated the first three Priority Products and is putting them through the </w:t>
      </w:r>
      <w:r w:rsidR="00826C33" w:rsidRPr="006F4BBA">
        <w:rPr>
          <w:rFonts w:ascii="Arial" w:eastAsia="Times New Roman" w:hAnsi="Arial" w:cs="Arial"/>
          <w:sz w:val="24"/>
          <w:szCs w:val="24"/>
        </w:rPr>
        <w:t>Alternatives Analysis</w:t>
      </w:r>
      <w:r w:rsidRPr="006F4BBA">
        <w:rPr>
          <w:rFonts w:ascii="Arial" w:eastAsia="Times New Roman" w:hAnsi="Arial" w:cs="Arial"/>
          <w:sz w:val="24"/>
          <w:szCs w:val="24"/>
        </w:rPr>
        <w:t xml:space="preserve"> process. SCP consistently provides transparency and accountability through </w:t>
      </w:r>
      <w:r w:rsidR="00826C33" w:rsidRPr="006F4BBA">
        <w:rPr>
          <w:rFonts w:ascii="Arial" w:eastAsia="Times New Roman" w:hAnsi="Arial" w:cs="Arial"/>
          <w:sz w:val="24"/>
          <w:szCs w:val="24"/>
        </w:rPr>
        <w:t xml:space="preserve">its </w:t>
      </w:r>
      <w:r w:rsidRPr="006F4BBA">
        <w:rPr>
          <w:rFonts w:ascii="Arial" w:eastAsia="Times New Roman" w:hAnsi="Arial" w:cs="Arial"/>
          <w:sz w:val="24"/>
          <w:szCs w:val="24"/>
        </w:rPr>
        <w:t>management system, bi</w:t>
      </w:r>
      <w:r w:rsidR="00826C33" w:rsidRPr="006F4BBA">
        <w:rPr>
          <w:rFonts w:ascii="Arial" w:eastAsia="Times New Roman" w:hAnsi="Arial" w:cs="Arial"/>
          <w:sz w:val="24"/>
          <w:szCs w:val="24"/>
        </w:rPr>
        <w:t>e</w:t>
      </w:r>
      <w:r w:rsidRPr="006F4BBA">
        <w:rPr>
          <w:rFonts w:ascii="Arial" w:eastAsia="Times New Roman" w:hAnsi="Arial" w:cs="Arial"/>
          <w:sz w:val="24"/>
          <w:szCs w:val="24"/>
        </w:rPr>
        <w:t>nn</w:t>
      </w:r>
      <w:r w:rsidR="00826C33" w:rsidRPr="006F4BBA">
        <w:rPr>
          <w:rFonts w:ascii="Arial" w:eastAsia="Times New Roman" w:hAnsi="Arial" w:cs="Arial"/>
          <w:sz w:val="24"/>
          <w:szCs w:val="24"/>
        </w:rPr>
        <w:t>i</w:t>
      </w:r>
      <w:r w:rsidRPr="006F4BBA">
        <w:rPr>
          <w:rFonts w:ascii="Arial" w:eastAsia="Times New Roman" w:hAnsi="Arial" w:cs="Arial"/>
          <w:sz w:val="24"/>
          <w:szCs w:val="24"/>
        </w:rPr>
        <w:t xml:space="preserve">al Green Ribbon Science Panel, and the online resource and submission portal CalSAFER. </w:t>
      </w:r>
    </w:p>
    <w:p w14:paraId="4E1E5334" w14:textId="77777777" w:rsidR="0051309F" w:rsidRDefault="00CF4D65" w:rsidP="000408E5">
      <w:pPr>
        <w:spacing w:after="120"/>
        <w:rPr>
          <w:rFonts w:ascii="Arial" w:eastAsia="Times New Roman" w:hAnsi="Arial" w:cs="Arial"/>
          <w:sz w:val="24"/>
          <w:szCs w:val="24"/>
        </w:rPr>
      </w:pPr>
      <w:r w:rsidRPr="006F4BBA">
        <w:rPr>
          <w:rFonts w:ascii="Arial" w:eastAsia="Times New Roman" w:hAnsi="Arial" w:cs="Arial"/>
          <w:sz w:val="24"/>
          <w:szCs w:val="24"/>
        </w:rPr>
        <w:t xml:space="preserve">In FY 2018-19, SCP </w:t>
      </w:r>
      <w:r w:rsidR="00867ABA" w:rsidRPr="006F4BBA">
        <w:rPr>
          <w:rFonts w:ascii="Arial" w:eastAsia="Times New Roman" w:hAnsi="Arial" w:cs="Arial"/>
          <w:sz w:val="24"/>
          <w:szCs w:val="24"/>
        </w:rPr>
        <w:t xml:space="preserve">operated with </w:t>
      </w:r>
      <w:r w:rsidR="00883706">
        <w:rPr>
          <w:rFonts w:ascii="Arial" w:eastAsia="Times New Roman" w:hAnsi="Arial" w:cs="Arial"/>
          <w:sz w:val="24"/>
          <w:szCs w:val="24"/>
        </w:rPr>
        <w:t xml:space="preserve">a budget of approximately $10 million and </w:t>
      </w:r>
      <w:r w:rsidRPr="006F4BBA">
        <w:rPr>
          <w:rFonts w:ascii="Arial" w:eastAsia="Times New Roman" w:hAnsi="Arial" w:cs="Arial"/>
          <w:sz w:val="24"/>
          <w:szCs w:val="24"/>
        </w:rPr>
        <w:t>4</w:t>
      </w:r>
      <w:r w:rsidR="0012786F">
        <w:rPr>
          <w:rFonts w:ascii="Arial" w:eastAsia="Times New Roman" w:hAnsi="Arial" w:cs="Arial"/>
          <w:sz w:val="24"/>
          <w:szCs w:val="24"/>
        </w:rPr>
        <w:t>4</w:t>
      </w:r>
      <w:r w:rsidR="006E18E8">
        <w:rPr>
          <w:rStyle w:val="FootnoteReference"/>
          <w:rFonts w:ascii="Arial" w:eastAsia="Times New Roman" w:hAnsi="Arial" w:cs="Arial"/>
          <w:sz w:val="24"/>
          <w:szCs w:val="24"/>
        </w:rPr>
        <w:footnoteReference w:id="3"/>
      </w:r>
      <w:r w:rsidRPr="006F4BBA">
        <w:rPr>
          <w:rFonts w:ascii="Arial" w:eastAsia="Times New Roman" w:hAnsi="Arial" w:cs="Arial"/>
          <w:sz w:val="24"/>
          <w:szCs w:val="24"/>
        </w:rPr>
        <w:t xml:space="preserve"> </w:t>
      </w:r>
      <w:r w:rsidR="00395199" w:rsidRPr="006F4BBA">
        <w:rPr>
          <w:rFonts w:ascii="Arial" w:eastAsia="Times New Roman" w:hAnsi="Arial" w:cs="Arial"/>
          <w:sz w:val="24"/>
          <w:szCs w:val="24"/>
        </w:rPr>
        <w:t>positions</w:t>
      </w:r>
      <w:r w:rsidRPr="006F4BBA">
        <w:rPr>
          <w:rFonts w:ascii="Arial" w:eastAsia="Times New Roman" w:hAnsi="Arial" w:cs="Arial"/>
          <w:sz w:val="24"/>
          <w:szCs w:val="24"/>
        </w:rPr>
        <w:t xml:space="preserve"> to fulfill its mandates. Seventy-five percent of SCP’s resources were allocated to perform Chemical and Product Evaluation, Alternatives Analysis, Rulemaking and Operations.</w:t>
      </w:r>
      <w:r w:rsidR="000F25E8" w:rsidRPr="006F4BBA">
        <w:rPr>
          <w:rFonts w:ascii="Arial" w:eastAsia="Times New Roman" w:hAnsi="Arial" w:cs="Arial"/>
          <w:sz w:val="24"/>
          <w:szCs w:val="24"/>
        </w:rPr>
        <w:t xml:space="preserve"> The remain</w:t>
      </w:r>
      <w:r w:rsidR="008B409D" w:rsidRPr="006F4BBA">
        <w:rPr>
          <w:rFonts w:ascii="Arial" w:eastAsia="Times New Roman" w:hAnsi="Arial" w:cs="Arial"/>
          <w:sz w:val="24"/>
          <w:szCs w:val="24"/>
        </w:rPr>
        <w:t>ing time</w:t>
      </w:r>
      <w:r w:rsidR="000F25E8" w:rsidRPr="006F4BBA">
        <w:rPr>
          <w:rFonts w:ascii="Arial" w:eastAsia="Times New Roman" w:hAnsi="Arial" w:cs="Arial"/>
          <w:sz w:val="24"/>
          <w:szCs w:val="24"/>
        </w:rPr>
        <w:t xml:space="preserve"> was </w:t>
      </w:r>
      <w:r w:rsidR="00867ABA" w:rsidRPr="006F4BBA">
        <w:rPr>
          <w:rFonts w:ascii="Arial" w:eastAsia="Times New Roman" w:hAnsi="Arial" w:cs="Arial"/>
          <w:sz w:val="24"/>
          <w:szCs w:val="24"/>
        </w:rPr>
        <w:t>used for</w:t>
      </w:r>
      <w:r w:rsidR="000F25E8" w:rsidRPr="006F4BBA">
        <w:rPr>
          <w:rFonts w:ascii="Arial" w:eastAsia="Times New Roman" w:hAnsi="Arial" w:cs="Arial"/>
          <w:sz w:val="24"/>
          <w:szCs w:val="24"/>
        </w:rPr>
        <w:t xml:space="preserve"> supervision, external technical support, and support for the statutorily mandated brake pads program. </w:t>
      </w:r>
    </w:p>
    <w:p w14:paraId="7A1E8140" w14:textId="6E8DB9D0" w:rsidR="00CF4D65" w:rsidRPr="006F4BBA" w:rsidRDefault="00CF4D65" w:rsidP="000408E5">
      <w:pPr>
        <w:spacing w:after="120"/>
        <w:rPr>
          <w:rFonts w:ascii="Arial" w:eastAsia="Times New Roman" w:hAnsi="Arial" w:cs="Arial"/>
          <w:sz w:val="24"/>
          <w:szCs w:val="24"/>
        </w:rPr>
      </w:pPr>
      <w:r w:rsidRPr="006F4BBA">
        <w:rPr>
          <w:rFonts w:ascii="Arial" w:eastAsia="Times New Roman" w:hAnsi="Arial" w:cs="Arial"/>
          <w:sz w:val="24"/>
          <w:szCs w:val="24"/>
        </w:rPr>
        <w:lastRenderedPageBreak/>
        <w:t xml:space="preserve">SCP’s </w:t>
      </w:r>
      <w:r w:rsidR="00A1285C" w:rsidRPr="006F4BBA">
        <w:rPr>
          <w:rFonts w:ascii="Arial" w:eastAsia="Times New Roman" w:hAnsi="Arial" w:cs="Arial"/>
          <w:sz w:val="24"/>
          <w:szCs w:val="24"/>
        </w:rPr>
        <w:t>current</w:t>
      </w:r>
      <w:r w:rsidRPr="006F4BBA">
        <w:rPr>
          <w:rFonts w:ascii="Arial" w:eastAsia="Times New Roman" w:hAnsi="Arial" w:cs="Arial"/>
          <w:sz w:val="24"/>
          <w:szCs w:val="24"/>
        </w:rPr>
        <w:t xml:space="preserve"> funding provides resources for identifying chemicals of concern and selecting Priority Products (Steps 1 and 2). Alternatives Analysis (Step 3) is partially funded</w:t>
      </w:r>
      <w:r w:rsidR="008B409D" w:rsidRPr="006F4BBA">
        <w:rPr>
          <w:rFonts w:ascii="Arial" w:eastAsia="Times New Roman" w:hAnsi="Arial" w:cs="Arial"/>
          <w:sz w:val="24"/>
          <w:szCs w:val="24"/>
        </w:rPr>
        <w:t>,</w:t>
      </w:r>
      <w:r w:rsidRPr="006F4BBA">
        <w:rPr>
          <w:rFonts w:ascii="Arial" w:eastAsia="Times New Roman" w:hAnsi="Arial" w:cs="Arial"/>
          <w:sz w:val="24"/>
          <w:szCs w:val="24"/>
        </w:rPr>
        <w:t xml:space="preserve"> and Regulatory Response work (Step 4) is entirely unfunded. </w:t>
      </w:r>
    </w:p>
    <w:p w14:paraId="3FD37CC4" w14:textId="77777777" w:rsidR="00955185" w:rsidRDefault="00955185" w:rsidP="00463524">
      <w:pPr>
        <w:spacing w:after="120"/>
        <w:rPr>
          <w:rFonts w:ascii="Arial" w:eastAsia="Times New Roman" w:hAnsi="Arial" w:cs="Arial"/>
          <w:b/>
          <w:bCs/>
          <w:sz w:val="24"/>
          <w:szCs w:val="24"/>
        </w:rPr>
      </w:pPr>
    </w:p>
    <w:p w14:paraId="5E57813C" w14:textId="1B3448A4" w:rsidR="000C03AC" w:rsidRPr="006F4BBA" w:rsidRDefault="00A1285C" w:rsidP="00463524">
      <w:pPr>
        <w:spacing w:after="120"/>
        <w:rPr>
          <w:rFonts w:ascii="Arial" w:eastAsia="Times New Roman" w:hAnsi="Arial" w:cs="Arial"/>
          <w:b/>
          <w:bCs/>
          <w:sz w:val="24"/>
          <w:szCs w:val="24"/>
        </w:rPr>
      </w:pPr>
      <w:r w:rsidRPr="006F4BBA">
        <w:rPr>
          <w:rFonts w:ascii="Arial" w:eastAsia="Times New Roman" w:hAnsi="Arial" w:cs="Arial"/>
          <w:b/>
          <w:bCs/>
          <w:sz w:val="24"/>
          <w:szCs w:val="24"/>
        </w:rPr>
        <w:t>Conclusions</w:t>
      </w:r>
    </w:p>
    <w:p w14:paraId="0F6DD130" w14:textId="5B5AEC66" w:rsidR="00CA2529" w:rsidRDefault="00CA2529" w:rsidP="0036073B">
      <w:pPr>
        <w:pStyle w:val="Pa1"/>
        <w:spacing w:after="120" w:line="276" w:lineRule="auto"/>
        <w:rPr>
          <w:rFonts w:ascii="Arial" w:eastAsia="Times New Roman" w:hAnsi="Arial" w:cs="Arial"/>
        </w:rPr>
      </w:pPr>
      <w:r w:rsidRPr="00CA2529">
        <w:rPr>
          <w:rFonts w:ascii="Arial" w:hAnsi="Arial" w:cs="Arial"/>
          <w:color w:val="000000"/>
        </w:rPr>
        <w:t xml:space="preserve">Despite success in implementing the SCP regulations so far, SCP is still only in the Alternatives Analysis phase of the regulations; SCP will reach the Regulatory Response phase in early 2021 and has yet to undertake comprehensive compliance and enforcement efforts. </w:t>
      </w:r>
      <w:r w:rsidR="00CF4D65" w:rsidRPr="006F4BBA">
        <w:rPr>
          <w:rFonts w:ascii="Arial" w:eastAsia="Times New Roman" w:hAnsi="Arial" w:cs="Arial"/>
        </w:rPr>
        <w:t>Under its current resource allocations, SCP will need to shift most of its resources into Alternatives Analysis work (Step 3) and Regulatory Response work (Step 4) by FY 20</w:t>
      </w:r>
      <w:r w:rsidR="008B409D" w:rsidRPr="006F4BBA">
        <w:rPr>
          <w:rFonts w:ascii="Arial" w:eastAsia="Times New Roman" w:hAnsi="Arial" w:cs="Arial"/>
        </w:rPr>
        <w:t>21-</w:t>
      </w:r>
      <w:r w:rsidR="00CF4D65" w:rsidRPr="006F4BBA">
        <w:rPr>
          <w:rFonts w:ascii="Arial" w:eastAsia="Times New Roman" w:hAnsi="Arial" w:cs="Arial"/>
        </w:rPr>
        <w:t>22, reducing SCP</w:t>
      </w:r>
      <w:r w:rsidR="008B409D" w:rsidRPr="006F4BBA">
        <w:rPr>
          <w:rFonts w:ascii="Arial" w:eastAsia="Times New Roman" w:hAnsi="Arial" w:cs="Arial"/>
        </w:rPr>
        <w:t>’</w:t>
      </w:r>
      <w:r w:rsidR="00CF4D65" w:rsidRPr="006F4BBA">
        <w:rPr>
          <w:rFonts w:ascii="Arial" w:eastAsia="Times New Roman" w:hAnsi="Arial" w:cs="Arial"/>
        </w:rPr>
        <w:t xml:space="preserve">s ability to </w:t>
      </w:r>
      <w:r>
        <w:rPr>
          <w:rFonts w:ascii="Arial" w:eastAsia="Times New Roman" w:hAnsi="Arial" w:cs="Arial"/>
        </w:rPr>
        <w:t xml:space="preserve">research and </w:t>
      </w:r>
      <w:r w:rsidR="00CF4D65" w:rsidRPr="006F4BBA">
        <w:rPr>
          <w:rFonts w:ascii="Arial" w:eastAsia="Times New Roman" w:hAnsi="Arial" w:cs="Arial"/>
        </w:rPr>
        <w:t xml:space="preserve">add new products to its portfolio. </w:t>
      </w:r>
      <w:r w:rsidR="006F5F3F" w:rsidRPr="006F4BBA">
        <w:rPr>
          <w:rFonts w:ascii="Arial" w:eastAsia="Times New Roman" w:hAnsi="Arial" w:cs="Arial"/>
        </w:rPr>
        <w:t>In FY 2022-23, t</w:t>
      </w:r>
      <w:r w:rsidR="00FC1177" w:rsidRPr="006F4BBA">
        <w:rPr>
          <w:rFonts w:ascii="Arial" w:eastAsia="Times New Roman" w:hAnsi="Arial" w:cs="Arial"/>
        </w:rPr>
        <w:t xml:space="preserve">he number of new products undergoing Rulemaking and Chemical and Product Evaluation will need to be reduced by </w:t>
      </w:r>
      <w:r w:rsidR="006E18E8">
        <w:rPr>
          <w:rFonts w:ascii="Arial" w:eastAsia="Times New Roman" w:hAnsi="Arial" w:cs="Arial"/>
        </w:rPr>
        <w:t>roughly</w:t>
      </w:r>
      <w:r w:rsidR="008B409D" w:rsidRPr="006F4BB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80 </w:t>
      </w:r>
      <w:r w:rsidR="008B409D" w:rsidRPr="006F4BBA">
        <w:rPr>
          <w:rFonts w:ascii="Arial" w:eastAsia="Times New Roman" w:hAnsi="Arial" w:cs="Arial"/>
        </w:rPr>
        <w:t>percent</w:t>
      </w:r>
      <w:r w:rsidR="00CF4D65" w:rsidRPr="006F4BBA">
        <w:rPr>
          <w:rFonts w:ascii="Arial" w:eastAsia="Times New Roman" w:hAnsi="Arial" w:cs="Arial"/>
        </w:rPr>
        <w:t xml:space="preserve">. Strategically, current SCP staffing constraints limit the program’s ability to process more impactful and complex consumer products. </w:t>
      </w:r>
    </w:p>
    <w:p w14:paraId="5152EB97" w14:textId="074BE3B4" w:rsidR="000F25E8" w:rsidRDefault="00CF4D65" w:rsidP="00463524">
      <w:pPr>
        <w:spacing w:after="120"/>
        <w:rPr>
          <w:rFonts w:ascii="Arial" w:eastAsia="Times New Roman" w:hAnsi="Arial" w:cs="Arial"/>
          <w:sz w:val="24"/>
          <w:szCs w:val="24"/>
        </w:rPr>
      </w:pPr>
      <w:r w:rsidRPr="006F4BBA">
        <w:rPr>
          <w:rFonts w:ascii="Arial" w:eastAsia="Times New Roman" w:hAnsi="Arial" w:cs="Arial"/>
          <w:sz w:val="24"/>
          <w:szCs w:val="24"/>
        </w:rPr>
        <w:t>SCP’s analysis estimates that 39 additional staff will produce a consistent and normalized distribution of products through SCP’s product life</w:t>
      </w:r>
      <w:r w:rsidR="00B82590" w:rsidRPr="006F4BBA">
        <w:rPr>
          <w:rFonts w:ascii="Arial" w:eastAsia="Times New Roman" w:hAnsi="Arial" w:cs="Arial"/>
          <w:sz w:val="24"/>
          <w:szCs w:val="24"/>
        </w:rPr>
        <w:t xml:space="preserve"> </w:t>
      </w:r>
      <w:r w:rsidRPr="006F4BBA">
        <w:rPr>
          <w:rFonts w:ascii="Arial" w:eastAsia="Times New Roman" w:hAnsi="Arial" w:cs="Arial"/>
          <w:sz w:val="24"/>
          <w:szCs w:val="24"/>
        </w:rPr>
        <w:t xml:space="preserve">cycle. </w:t>
      </w:r>
      <w:r w:rsidR="00CA2529">
        <w:rPr>
          <w:rFonts w:ascii="Arial" w:eastAsia="Times New Roman" w:hAnsi="Arial" w:cs="Arial"/>
          <w:sz w:val="24"/>
          <w:szCs w:val="24"/>
        </w:rPr>
        <w:t>These</w:t>
      </w:r>
      <w:r w:rsidRPr="006F4BBA">
        <w:rPr>
          <w:rFonts w:ascii="Arial" w:eastAsia="Times New Roman" w:hAnsi="Arial" w:cs="Arial"/>
          <w:sz w:val="24"/>
          <w:szCs w:val="24"/>
        </w:rPr>
        <w:t xml:space="preserve"> resources are necessary to meet statutory mandates and to fully implement a program with baseline capability to make a meaningful impact on the large universe of consumer products within the SCP’s authority and mission. </w:t>
      </w:r>
    </w:p>
    <w:p w14:paraId="49CCE343" w14:textId="54376E96" w:rsidR="00CA2529" w:rsidRDefault="00CA2529" w:rsidP="000408E5">
      <w:pPr>
        <w:spacing w:after="120"/>
        <w:rPr>
          <w:rFonts w:ascii="Arial" w:hAnsi="Arial" w:cs="Arial"/>
          <w:sz w:val="24"/>
          <w:szCs w:val="24"/>
        </w:rPr>
      </w:pPr>
    </w:p>
    <w:p w14:paraId="6D9A43E3" w14:textId="77777777" w:rsidR="00CA2529" w:rsidRPr="006F4BBA" w:rsidRDefault="00CA2529" w:rsidP="000408E5">
      <w:pPr>
        <w:spacing w:after="120"/>
        <w:rPr>
          <w:rFonts w:ascii="Arial" w:hAnsi="Arial" w:cs="Arial"/>
          <w:sz w:val="24"/>
          <w:szCs w:val="24"/>
        </w:rPr>
      </w:pPr>
    </w:p>
    <w:sectPr w:rsidR="00CA2529" w:rsidRPr="006F4BBA" w:rsidSect="00490555">
      <w:footerReference w:type="default" r:id="rId11"/>
      <w:headerReference w:type="first" r:id="rId12"/>
      <w:footerReference w:type="first" r:id="rId13"/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9BC7E" w14:textId="77777777" w:rsidR="006C547A" w:rsidRDefault="006C547A" w:rsidP="00CF4D65">
      <w:pPr>
        <w:spacing w:after="0" w:line="240" w:lineRule="auto"/>
      </w:pPr>
      <w:r>
        <w:separator/>
      </w:r>
    </w:p>
  </w:endnote>
  <w:endnote w:type="continuationSeparator" w:id="0">
    <w:p w14:paraId="17DD56C7" w14:textId="77777777" w:rsidR="006C547A" w:rsidRDefault="006C547A" w:rsidP="00CF4D65">
      <w:pPr>
        <w:spacing w:after="0" w:line="240" w:lineRule="auto"/>
      </w:pPr>
      <w:r>
        <w:continuationSeparator/>
      </w:r>
    </w:p>
  </w:endnote>
  <w:endnote w:type="continuationNotice" w:id="1">
    <w:p w14:paraId="1A0B74F3" w14:textId="77777777" w:rsidR="006C547A" w:rsidRDefault="006C54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PT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15AC2" w14:textId="164AD61C" w:rsidR="00AF43EB" w:rsidRPr="00AF43EB" w:rsidRDefault="00AF43EB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ptab w:relativeTo="margin" w:alignment="left" w:leader="none"/>
    </w:r>
    <w:r>
      <w:rPr>
        <w:rFonts w:ascii="Arial" w:hAnsi="Arial" w:cs="Arial"/>
      </w:rPr>
      <w:ptab w:relativeTo="indent" w:alignment="left" w:leader="none"/>
    </w:r>
  </w:p>
  <w:p w14:paraId="4C345775" w14:textId="0C68C99B" w:rsidR="00AF43EB" w:rsidRPr="00D72886" w:rsidRDefault="00F01112">
    <w:pPr>
      <w:pStyle w:val="Footer"/>
      <w:rPr>
        <w:rFonts w:ascii="Arial" w:hAnsi="Arial" w:cs="Arial"/>
      </w:rPr>
    </w:pPr>
    <w:r>
      <w:rPr>
        <w:rFonts w:ascii="Arial" w:hAnsi="Arial" w:cs="Arial"/>
      </w:rPr>
      <w:t>October 26,</w:t>
    </w:r>
    <w:r w:rsidR="00AF43EB" w:rsidRPr="00995B77">
      <w:rPr>
        <w:rFonts w:ascii="Arial" w:hAnsi="Arial" w:cs="Arial"/>
      </w:rPr>
      <w:t xml:space="preserve"> 2020</w:t>
    </w:r>
    <w:r w:rsidR="00AF43EB" w:rsidRPr="00995B77">
      <w:rPr>
        <w:rFonts w:ascii="Arial" w:hAnsi="Arial" w:cs="Arial"/>
      </w:rPr>
      <w:tab/>
    </w:r>
    <w:r w:rsidR="00AF43EB" w:rsidRPr="00995B77">
      <w:rPr>
        <w:rFonts w:ascii="Arial" w:hAnsi="Arial" w:cs="Arial"/>
      </w:rPr>
      <w:tab/>
    </w:r>
    <w:sdt>
      <w:sdtPr>
        <w:rPr>
          <w:rFonts w:ascii="Arial" w:hAnsi="Arial" w:cs="Arial"/>
        </w:rPr>
        <w:id w:val="19127647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AF43EB">
              <w:rPr>
                <w:rFonts w:ascii="Arial" w:hAnsi="Arial" w:cs="Arial"/>
              </w:rPr>
              <w:t xml:space="preserve">  </w:t>
            </w:r>
            <w:r w:rsidR="00AF43EB" w:rsidRPr="00995B77">
              <w:rPr>
                <w:rFonts w:ascii="Arial" w:hAnsi="Arial" w:cs="Arial"/>
              </w:rPr>
              <w:t xml:space="preserve">Page </w:t>
            </w:r>
            <w:r w:rsidR="00AF43EB" w:rsidRPr="00995B77">
              <w:rPr>
                <w:rFonts w:ascii="Arial" w:hAnsi="Arial" w:cs="Arial"/>
                <w:b/>
                <w:bCs/>
              </w:rPr>
              <w:fldChar w:fldCharType="begin"/>
            </w:r>
            <w:r w:rsidR="00AF43EB" w:rsidRPr="00995B77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="00AF43EB" w:rsidRPr="00995B77">
              <w:rPr>
                <w:rFonts w:ascii="Arial" w:hAnsi="Arial" w:cs="Arial"/>
                <w:b/>
                <w:bCs/>
              </w:rPr>
              <w:fldChar w:fldCharType="separate"/>
            </w:r>
            <w:r w:rsidR="00AF43EB">
              <w:rPr>
                <w:rFonts w:ascii="Arial" w:hAnsi="Arial" w:cs="Arial"/>
                <w:b/>
                <w:bCs/>
              </w:rPr>
              <w:t>1</w:t>
            </w:r>
            <w:r w:rsidR="00AF43EB" w:rsidRPr="00995B77">
              <w:rPr>
                <w:rFonts w:ascii="Arial" w:hAnsi="Arial" w:cs="Arial"/>
                <w:b/>
                <w:bCs/>
              </w:rPr>
              <w:fldChar w:fldCharType="end"/>
            </w:r>
            <w:r w:rsidR="00AF43EB" w:rsidRPr="00995B77">
              <w:rPr>
                <w:rFonts w:ascii="Arial" w:hAnsi="Arial" w:cs="Arial"/>
              </w:rPr>
              <w:t xml:space="preserve"> of </w:t>
            </w:r>
            <w:r w:rsidR="00AF43EB" w:rsidRPr="00995B77">
              <w:rPr>
                <w:rFonts w:ascii="Arial" w:hAnsi="Arial" w:cs="Arial"/>
                <w:b/>
                <w:bCs/>
              </w:rPr>
              <w:fldChar w:fldCharType="begin"/>
            </w:r>
            <w:r w:rsidR="00AF43EB" w:rsidRPr="00995B77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="00AF43EB" w:rsidRPr="00995B77">
              <w:rPr>
                <w:rFonts w:ascii="Arial" w:hAnsi="Arial" w:cs="Arial"/>
                <w:b/>
                <w:bCs/>
              </w:rPr>
              <w:fldChar w:fldCharType="separate"/>
            </w:r>
            <w:r w:rsidR="00AF43EB">
              <w:rPr>
                <w:rFonts w:ascii="Arial" w:hAnsi="Arial" w:cs="Arial"/>
                <w:b/>
                <w:bCs/>
              </w:rPr>
              <w:t>2</w:t>
            </w:r>
            <w:r w:rsidR="00AF43EB" w:rsidRPr="00995B7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78504" w14:textId="26378476" w:rsidR="009C5435" w:rsidRPr="009C5435" w:rsidRDefault="005333F9">
    <w:pPr>
      <w:pStyle w:val="Footer"/>
      <w:rPr>
        <w:rFonts w:ascii="Arial" w:hAnsi="Arial" w:cs="Arial"/>
      </w:rPr>
    </w:pPr>
    <w:r>
      <w:rPr>
        <w:rFonts w:ascii="Arial" w:hAnsi="Arial" w:cs="Arial"/>
      </w:rPr>
      <w:t>April 1</w:t>
    </w:r>
    <w:r w:rsidR="009C5435" w:rsidRPr="009C5435">
      <w:rPr>
        <w:rFonts w:ascii="Arial" w:hAnsi="Arial" w:cs="Arial"/>
      </w:rP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DB4A1" w14:textId="77777777" w:rsidR="006C547A" w:rsidRDefault="006C547A" w:rsidP="00CF4D65">
      <w:pPr>
        <w:spacing w:after="0" w:line="240" w:lineRule="auto"/>
      </w:pPr>
      <w:r>
        <w:separator/>
      </w:r>
    </w:p>
  </w:footnote>
  <w:footnote w:type="continuationSeparator" w:id="0">
    <w:p w14:paraId="174815E5" w14:textId="77777777" w:rsidR="006C547A" w:rsidRDefault="006C547A" w:rsidP="00CF4D65">
      <w:pPr>
        <w:spacing w:after="0" w:line="240" w:lineRule="auto"/>
      </w:pPr>
      <w:r>
        <w:continuationSeparator/>
      </w:r>
    </w:p>
  </w:footnote>
  <w:footnote w:type="continuationNotice" w:id="1">
    <w:p w14:paraId="1FBB84FE" w14:textId="77777777" w:rsidR="006C547A" w:rsidRDefault="006C547A">
      <w:pPr>
        <w:spacing w:after="0" w:line="240" w:lineRule="auto"/>
      </w:pPr>
    </w:p>
  </w:footnote>
  <w:footnote w:id="2">
    <w:p w14:paraId="340FBBE9" w14:textId="06B52D7D" w:rsidR="00D65A40" w:rsidRPr="00DC260D" w:rsidRDefault="00D65A40" w:rsidP="00D65A40">
      <w:pPr>
        <w:pStyle w:val="FootnoteText"/>
        <w:rPr>
          <w:rFonts w:ascii="Arial" w:hAnsi="Arial" w:cs="Arial"/>
        </w:rPr>
      </w:pPr>
      <w:r w:rsidRPr="00DC260D">
        <w:rPr>
          <w:rStyle w:val="FootnoteReference"/>
          <w:rFonts w:ascii="Arial" w:hAnsi="Arial" w:cs="Arial"/>
        </w:rPr>
        <w:footnoteRef/>
      </w:r>
      <w:r w:rsidRPr="00DC260D">
        <w:rPr>
          <w:rFonts w:ascii="Arial" w:hAnsi="Arial" w:cs="Arial"/>
        </w:rPr>
        <w:t xml:space="preserve"> </w:t>
      </w:r>
      <w:r w:rsidRPr="00DC260D">
        <w:rPr>
          <w:rFonts w:ascii="Arial" w:hAnsi="Arial" w:cs="Arial"/>
          <w:lang w:val="fr-FR"/>
        </w:rPr>
        <w:t>Health and Safety Code</w:t>
      </w:r>
      <w:r w:rsidR="00822E08" w:rsidRPr="00DC260D">
        <w:rPr>
          <w:rFonts w:ascii="Arial" w:hAnsi="Arial" w:cs="Arial"/>
          <w:lang w:val="fr-FR"/>
        </w:rPr>
        <w:t xml:space="preserve">, </w:t>
      </w:r>
      <w:r w:rsidRPr="00DC260D">
        <w:rPr>
          <w:rFonts w:ascii="Arial" w:hAnsi="Arial" w:cs="Arial"/>
          <w:lang w:val="fr-FR"/>
        </w:rPr>
        <w:t>Div. 20, Ch. 6.5, Article 14 §§ 25251-25257.2</w:t>
      </w:r>
    </w:p>
    <w:p w14:paraId="299588C1" w14:textId="303ADD83" w:rsidR="00D65A40" w:rsidRPr="002C7436" w:rsidRDefault="00D65A40">
      <w:pPr>
        <w:pStyle w:val="FootnoteText"/>
        <w:rPr>
          <w:rFonts w:ascii="Arial" w:hAnsi="Arial" w:cs="Arial"/>
        </w:rPr>
      </w:pPr>
    </w:p>
  </w:footnote>
  <w:footnote w:id="3">
    <w:p w14:paraId="2EECFE0A" w14:textId="7FFCF408" w:rsidR="006E18E8" w:rsidRPr="00883706" w:rsidRDefault="006E18E8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883706">
        <w:rPr>
          <w:rFonts w:ascii="Arial" w:hAnsi="Arial" w:cs="Arial"/>
        </w:rPr>
        <w:t xml:space="preserve">Of the 44 authorized positions, the Workload Analysis includes 41 positions.  Unfunded positions were not included in the analysis.  The operating budget includes facility and indirect costs.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08101" w14:textId="791C958E" w:rsidR="00CF4D65" w:rsidRPr="000408E5" w:rsidRDefault="00CF4D65" w:rsidP="00FA1643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0408E5">
      <w:rPr>
        <w:rFonts w:ascii="Arial" w:hAnsi="Arial" w:cs="Arial"/>
        <w:b/>
        <w:sz w:val="24"/>
        <w:szCs w:val="24"/>
      </w:rPr>
      <w:t xml:space="preserve">Safer Consumer Products </w:t>
    </w:r>
    <w:r w:rsidR="000408E5" w:rsidRPr="000408E5">
      <w:rPr>
        <w:rFonts w:ascii="Arial" w:hAnsi="Arial" w:cs="Arial"/>
        <w:b/>
        <w:sz w:val="24"/>
        <w:szCs w:val="24"/>
      </w:rPr>
      <w:t>Program</w:t>
    </w:r>
  </w:p>
  <w:p w14:paraId="469AB03F" w14:textId="1E1B7E61" w:rsidR="00CF4D65" w:rsidRPr="000408E5" w:rsidRDefault="00CF4D65" w:rsidP="00FA1643">
    <w:pPr>
      <w:spacing w:after="0" w:line="240" w:lineRule="auto"/>
      <w:jc w:val="center"/>
      <w:rPr>
        <w:rFonts w:ascii="Arial" w:hAnsi="Arial" w:cs="Arial"/>
        <w:sz w:val="24"/>
        <w:szCs w:val="24"/>
      </w:rPr>
    </w:pPr>
    <w:r w:rsidRPr="000408E5">
      <w:rPr>
        <w:rFonts w:ascii="Arial" w:hAnsi="Arial" w:cs="Arial"/>
        <w:b/>
        <w:sz w:val="24"/>
        <w:szCs w:val="24"/>
      </w:rPr>
      <w:t>Workload Analysis</w:t>
    </w:r>
    <w:r w:rsidR="000408E5" w:rsidRPr="000408E5">
      <w:rPr>
        <w:rFonts w:ascii="Arial" w:hAnsi="Arial" w:cs="Arial"/>
        <w:b/>
        <w:sz w:val="24"/>
        <w:szCs w:val="24"/>
      </w:rPr>
      <w:t xml:space="preserve"> for 2018-19</w:t>
    </w:r>
  </w:p>
  <w:p w14:paraId="1AD87A38" w14:textId="52EF8AA3" w:rsidR="00CF4D65" w:rsidRPr="000408E5" w:rsidRDefault="00CF4D65" w:rsidP="00FA1643">
    <w:pPr>
      <w:spacing w:after="0" w:line="240" w:lineRule="auto"/>
      <w:jc w:val="center"/>
      <w:rPr>
        <w:rFonts w:ascii="Arial" w:hAnsi="Arial" w:cs="Arial"/>
        <w:sz w:val="24"/>
        <w:szCs w:val="24"/>
      </w:rPr>
    </w:pPr>
    <w:r w:rsidRPr="000408E5">
      <w:rPr>
        <w:rFonts w:ascii="Arial" w:hAnsi="Arial" w:cs="Arial"/>
        <w:sz w:val="24"/>
        <w:szCs w:val="24"/>
      </w:rPr>
      <w:t>Key Findings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B3A95"/>
    <w:multiLevelType w:val="hybridMultilevel"/>
    <w:tmpl w:val="40E8879C"/>
    <w:lvl w:ilvl="0" w:tplc="FC7266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F0E7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5A48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36D8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6435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0A02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9846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6468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0A5B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B05CA"/>
    <w:multiLevelType w:val="hybridMultilevel"/>
    <w:tmpl w:val="82D48830"/>
    <w:lvl w:ilvl="0" w:tplc="0AB2C1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8A49AC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AC675C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B2A5E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040A77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638CCF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C7AEC9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7DA573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91AE34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245008"/>
    <w:multiLevelType w:val="hybridMultilevel"/>
    <w:tmpl w:val="10EC9926"/>
    <w:lvl w:ilvl="0" w:tplc="BEC2C6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06A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4A41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40D0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8C3B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CCA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A08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043B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D80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77913"/>
    <w:multiLevelType w:val="hybridMultilevel"/>
    <w:tmpl w:val="2668CC74"/>
    <w:lvl w:ilvl="0" w:tplc="13060B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44E91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C62B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7808B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48157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7005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C88D2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A4C3B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FAA0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46F97"/>
    <w:multiLevelType w:val="hybridMultilevel"/>
    <w:tmpl w:val="81D89890"/>
    <w:lvl w:ilvl="0" w:tplc="72EC55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9C1C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D293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1CF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EC3A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3EC9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B440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9C8B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C81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A5860"/>
    <w:multiLevelType w:val="hybridMultilevel"/>
    <w:tmpl w:val="658E650A"/>
    <w:lvl w:ilvl="0" w:tplc="939EA8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E33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1E87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9441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DEAF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3ACE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042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26D8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D0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D6195"/>
    <w:multiLevelType w:val="hybridMultilevel"/>
    <w:tmpl w:val="A6743A5A"/>
    <w:lvl w:ilvl="0" w:tplc="F85098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12201C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CC4D5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932569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F471B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1149C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92157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F4C39B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1CC699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R4c8dCwU4kFYTNJSuAlFDUJQ9JNkRzuqVPlhM5Nk4gHDOkVgFy/VptGdWpECLyZERFppXRgXVJYdkbfsFgsAw==" w:salt="QH7YKavPoS4IQWj0ogMyPQ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53D"/>
    <w:rsid w:val="00014C25"/>
    <w:rsid w:val="000255CC"/>
    <w:rsid w:val="0003727F"/>
    <w:rsid w:val="000408E5"/>
    <w:rsid w:val="0004181A"/>
    <w:rsid w:val="00045680"/>
    <w:rsid w:val="000953E1"/>
    <w:rsid w:val="000A741F"/>
    <w:rsid w:val="000C03AC"/>
    <w:rsid w:val="000C531A"/>
    <w:rsid w:val="000C6A69"/>
    <w:rsid w:val="000D5F6A"/>
    <w:rsid w:val="000F25E8"/>
    <w:rsid w:val="00112516"/>
    <w:rsid w:val="0012786F"/>
    <w:rsid w:val="00183B62"/>
    <w:rsid w:val="001C67A1"/>
    <w:rsid w:val="001D56F7"/>
    <w:rsid w:val="001D6493"/>
    <w:rsid w:val="00200AC5"/>
    <w:rsid w:val="00212D88"/>
    <w:rsid w:val="002346A5"/>
    <w:rsid w:val="00242AF4"/>
    <w:rsid w:val="002442DB"/>
    <w:rsid w:val="002659F5"/>
    <w:rsid w:val="00282559"/>
    <w:rsid w:val="00293A96"/>
    <w:rsid w:val="002B1197"/>
    <w:rsid w:val="002B11FD"/>
    <w:rsid w:val="002B147C"/>
    <w:rsid w:val="002B33DE"/>
    <w:rsid w:val="002B353D"/>
    <w:rsid w:val="002B7BB3"/>
    <w:rsid w:val="002C7436"/>
    <w:rsid w:val="002D7814"/>
    <w:rsid w:val="002E7375"/>
    <w:rsid w:val="003120E1"/>
    <w:rsid w:val="00324405"/>
    <w:rsid w:val="0036073B"/>
    <w:rsid w:val="003736BF"/>
    <w:rsid w:val="00395199"/>
    <w:rsid w:val="003A05D8"/>
    <w:rsid w:val="003B38DD"/>
    <w:rsid w:val="003E08DA"/>
    <w:rsid w:val="003F41B3"/>
    <w:rsid w:val="0040055E"/>
    <w:rsid w:val="004208D8"/>
    <w:rsid w:val="004243B2"/>
    <w:rsid w:val="00463524"/>
    <w:rsid w:val="00490555"/>
    <w:rsid w:val="00497702"/>
    <w:rsid w:val="004A2AFB"/>
    <w:rsid w:val="004A398A"/>
    <w:rsid w:val="004C3BBD"/>
    <w:rsid w:val="00503D8A"/>
    <w:rsid w:val="0051309F"/>
    <w:rsid w:val="005333F9"/>
    <w:rsid w:val="0055703B"/>
    <w:rsid w:val="00561D85"/>
    <w:rsid w:val="00565492"/>
    <w:rsid w:val="00571690"/>
    <w:rsid w:val="00581EEA"/>
    <w:rsid w:val="005A3EB3"/>
    <w:rsid w:val="005B2EA1"/>
    <w:rsid w:val="005C5988"/>
    <w:rsid w:val="005D023E"/>
    <w:rsid w:val="0060142C"/>
    <w:rsid w:val="00602ADA"/>
    <w:rsid w:val="006224E7"/>
    <w:rsid w:val="006320E7"/>
    <w:rsid w:val="00654027"/>
    <w:rsid w:val="0066323F"/>
    <w:rsid w:val="00673940"/>
    <w:rsid w:val="006C547A"/>
    <w:rsid w:val="006E18E8"/>
    <w:rsid w:val="006E2B0E"/>
    <w:rsid w:val="006E46BB"/>
    <w:rsid w:val="006E782E"/>
    <w:rsid w:val="006F4BBA"/>
    <w:rsid w:val="006F5F3F"/>
    <w:rsid w:val="00705D58"/>
    <w:rsid w:val="0077005C"/>
    <w:rsid w:val="00777DFE"/>
    <w:rsid w:val="007F0729"/>
    <w:rsid w:val="00822E08"/>
    <w:rsid w:val="00824DC2"/>
    <w:rsid w:val="00826C33"/>
    <w:rsid w:val="0083728E"/>
    <w:rsid w:val="0084749B"/>
    <w:rsid w:val="00867ABA"/>
    <w:rsid w:val="00883706"/>
    <w:rsid w:val="00890744"/>
    <w:rsid w:val="008B409D"/>
    <w:rsid w:val="008C37F8"/>
    <w:rsid w:val="008C58E9"/>
    <w:rsid w:val="008D3513"/>
    <w:rsid w:val="008D549A"/>
    <w:rsid w:val="009109F6"/>
    <w:rsid w:val="00910EED"/>
    <w:rsid w:val="00955185"/>
    <w:rsid w:val="00987255"/>
    <w:rsid w:val="00996F4A"/>
    <w:rsid w:val="009A1E56"/>
    <w:rsid w:val="009A3243"/>
    <w:rsid w:val="009B473A"/>
    <w:rsid w:val="009C5435"/>
    <w:rsid w:val="009E5969"/>
    <w:rsid w:val="00A1285C"/>
    <w:rsid w:val="00A42D12"/>
    <w:rsid w:val="00A45E43"/>
    <w:rsid w:val="00AB489E"/>
    <w:rsid w:val="00AB63B6"/>
    <w:rsid w:val="00AE0A9B"/>
    <w:rsid w:val="00AF43EB"/>
    <w:rsid w:val="00B40046"/>
    <w:rsid w:val="00B82590"/>
    <w:rsid w:val="00B91D9F"/>
    <w:rsid w:val="00BB6FC2"/>
    <w:rsid w:val="00BE1804"/>
    <w:rsid w:val="00BF656F"/>
    <w:rsid w:val="00C26E09"/>
    <w:rsid w:val="00C333CF"/>
    <w:rsid w:val="00C46B98"/>
    <w:rsid w:val="00C70048"/>
    <w:rsid w:val="00C868C9"/>
    <w:rsid w:val="00CA2529"/>
    <w:rsid w:val="00CE16A9"/>
    <w:rsid w:val="00CE5307"/>
    <w:rsid w:val="00CF3BE5"/>
    <w:rsid w:val="00CF4D65"/>
    <w:rsid w:val="00D65A40"/>
    <w:rsid w:val="00D72886"/>
    <w:rsid w:val="00D811CD"/>
    <w:rsid w:val="00DB676C"/>
    <w:rsid w:val="00DC260D"/>
    <w:rsid w:val="00DC376B"/>
    <w:rsid w:val="00DE2E7C"/>
    <w:rsid w:val="00DF7950"/>
    <w:rsid w:val="00E44356"/>
    <w:rsid w:val="00E44663"/>
    <w:rsid w:val="00E65676"/>
    <w:rsid w:val="00EA7EDA"/>
    <w:rsid w:val="00EC1265"/>
    <w:rsid w:val="00EC16FE"/>
    <w:rsid w:val="00EF33EC"/>
    <w:rsid w:val="00F01112"/>
    <w:rsid w:val="00F23CD5"/>
    <w:rsid w:val="00F240D2"/>
    <w:rsid w:val="00F3695B"/>
    <w:rsid w:val="00F64123"/>
    <w:rsid w:val="00FA1643"/>
    <w:rsid w:val="00FC1177"/>
    <w:rsid w:val="00FC2078"/>
    <w:rsid w:val="00FE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73991"/>
  <w15:docId w15:val="{732DC365-065B-4696-8EB4-2B8E06FF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8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5E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32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2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2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24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F4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D65"/>
  </w:style>
  <w:style w:type="paragraph" w:styleId="Footer">
    <w:name w:val="footer"/>
    <w:basedOn w:val="Normal"/>
    <w:link w:val="FooterChar"/>
    <w:uiPriority w:val="99"/>
    <w:unhideWhenUsed/>
    <w:rsid w:val="00CF4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D65"/>
  </w:style>
  <w:style w:type="paragraph" w:styleId="NormalWeb">
    <w:name w:val="Normal (Web)"/>
    <w:basedOn w:val="Normal"/>
    <w:uiPriority w:val="99"/>
    <w:semiHidden/>
    <w:unhideWhenUsed/>
    <w:rsid w:val="005C5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5A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5A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5A40"/>
    <w:rPr>
      <w:vertAlign w:val="superscript"/>
    </w:rPr>
  </w:style>
  <w:style w:type="paragraph" w:customStyle="1" w:styleId="Pa1">
    <w:name w:val="Pa1"/>
    <w:basedOn w:val="Normal"/>
    <w:next w:val="Normal"/>
    <w:uiPriority w:val="99"/>
    <w:rsid w:val="00CA2529"/>
    <w:pPr>
      <w:autoSpaceDE w:val="0"/>
      <w:autoSpaceDN w:val="0"/>
      <w:adjustRightInd w:val="0"/>
      <w:spacing w:after="0" w:line="241" w:lineRule="atLeast"/>
    </w:pPr>
    <w:rPr>
      <w:rFonts w:ascii="Futura PT Book" w:hAnsi="Futura PT Book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CA2529"/>
    <w:pPr>
      <w:autoSpaceDE w:val="0"/>
      <w:autoSpaceDN w:val="0"/>
      <w:adjustRightInd w:val="0"/>
      <w:spacing w:after="0" w:line="311" w:lineRule="atLeast"/>
    </w:pPr>
    <w:rPr>
      <w:rFonts w:ascii="Futura PT Book" w:hAnsi="Futura PT 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847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0079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384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32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439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986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24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473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52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106ED144AAF4C990E98A827473D85" ma:contentTypeVersion="2" ma:contentTypeDescription="Create a new document." ma:contentTypeScope="" ma:versionID="0558fa644024a2646dda1b71e0b36ded">
  <xsd:schema xmlns:xsd="http://www.w3.org/2001/XMLSchema" xmlns:xs="http://www.w3.org/2001/XMLSchema" xmlns:p="http://schemas.microsoft.com/office/2006/metadata/properties" xmlns:ns2="e945302d-9a08-4d25-a646-9f45423b29f9" targetNamespace="http://schemas.microsoft.com/office/2006/metadata/properties" ma:root="true" ma:fieldsID="47ce16c7765b6c2f47326c24e86ed518" ns2:_="">
    <xsd:import namespace="e945302d-9a08-4d25-a646-9f45423b29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5302d-9a08-4d25-a646-9f45423b2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F0AEB-80C1-4503-9D25-E3DCC77F7F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523B76-2331-47F4-A0E0-FDDD117CFE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160C80-F5FD-4AE0-81CB-00DD40764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5302d-9a08-4d25-a646-9f45423b29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8BA3A3-761E-4018-A7DB-5E3737759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3183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DTSC Safer Consumer Products Key Findings Fiscal Year 2018  -19</vt:lpstr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DTSC Safer Consumer Products Key Findings Fiscal Year 2018  -19</dc:title>
  <dc:subject/>
  <dc:creator>Andrew Chang</dc:creator>
  <cp:keywords/>
  <cp:lastModifiedBy>Numazu, Jane@DTSC</cp:lastModifiedBy>
  <cp:revision>4</cp:revision>
  <cp:lastPrinted>2020-02-25T21:19:00Z</cp:lastPrinted>
  <dcterms:created xsi:type="dcterms:W3CDTF">2021-01-29T20:54:00Z</dcterms:created>
  <dcterms:modified xsi:type="dcterms:W3CDTF">2021-02-01T19:43:00Z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0x0101007D0106ED144AAF4C990E98A827473D85</vt:lpwstr>
  </property>
</Properties>
</file>