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58BE" w14:textId="77777777" w:rsidR="006535BF" w:rsidRDefault="006535BF" w:rsidP="006535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362">
        <w:rPr>
          <w:rFonts w:ascii="Arial" w:hAnsi="Arial" w:cs="Arial"/>
          <w:b/>
          <w:bCs/>
          <w:sz w:val="24"/>
          <w:szCs w:val="24"/>
        </w:rPr>
        <w:t>Site Mitigation and Restoration Program</w:t>
      </w:r>
    </w:p>
    <w:p w14:paraId="506A2865" w14:textId="28A8A83E" w:rsidR="006535BF" w:rsidRPr="00BD0362" w:rsidRDefault="006535BF" w:rsidP="006535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(Cleanup Program)</w:t>
      </w:r>
    </w:p>
    <w:p w14:paraId="139C8D73" w14:textId="77777777" w:rsidR="006535BF" w:rsidRPr="00BD0362" w:rsidRDefault="006535BF" w:rsidP="006535BF">
      <w:pPr>
        <w:jc w:val="center"/>
        <w:rPr>
          <w:rFonts w:ascii="Arial" w:hAnsi="Arial" w:cs="Arial"/>
          <w:b/>
          <w:sz w:val="24"/>
          <w:szCs w:val="24"/>
        </w:rPr>
      </w:pPr>
      <w:r w:rsidRPr="00BD0362">
        <w:rPr>
          <w:rFonts w:ascii="Arial" w:hAnsi="Arial" w:cs="Arial"/>
          <w:b/>
          <w:sz w:val="24"/>
          <w:szCs w:val="24"/>
        </w:rPr>
        <w:t>Workload Analysis for FY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0362">
        <w:rPr>
          <w:rFonts w:ascii="Arial" w:hAnsi="Arial" w:cs="Arial"/>
          <w:b/>
          <w:sz w:val="24"/>
          <w:szCs w:val="24"/>
        </w:rPr>
        <w:t>2018-19</w:t>
      </w:r>
    </w:p>
    <w:p w14:paraId="77EB37AF" w14:textId="77777777" w:rsidR="006535BF" w:rsidRDefault="006535BF" w:rsidP="006535B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163E16">
        <w:rPr>
          <w:rFonts w:ascii="Arial" w:hAnsi="Arial" w:cs="Arial"/>
          <w:sz w:val="24"/>
          <w:szCs w:val="24"/>
        </w:rPr>
        <w:t>Key Findings</w:t>
      </w:r>
    </w:p>
    <w:p w14:paraId="76A84595" w14:textId="3AF6F18D" w:rsidR="00C4573E" w:rsidRPr="00B31B56" w:rsidRDefault="00C4573E" w:rsidP="00AF60D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B31B56">
        <w:rPr>
          <w:rFonts w:ascii="Arial" w:hAnsi="Arial" w:cs="Arial"/>
          <w:b/>
          <w:bCs/>
          <w:sz w:val="24"/>
          <w:szCs w:val="24"/>
        </w:rPr>
        <w:t>Background</w:t>
      </w:r>
    </w:p>
    <w:p w14:paraId="308DD090" w14:textId="2F6EA7F0" w:rsidR="00CD2C0C" w:rsidRPr="00F07353" w:rsidRDefault="00C4573E" w:rsidP="002F3CF9">
      <w:pPr>
        <w:spacing w:after="12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>California laws authorize DTSC</w:t>
      </w:r>
      <w:r w:rsidR="003C5064">
        <w:rPr>
          <w:rFonts w:ascii="Arial" w:hAnsi="Arial" w:cs="Arial"/>
          <w:sz w:val="24"/>
          <w:szCs w:val="24"/>
        </w:rPr>
        <w:t xml:space="preserve"> to </w:t>
      </w:r>
      <w:r w:rsidR="006D2596">
        <w:rPr>
          <w:rFonts w:ascii="Arial" w:hAnsi="Arial" w:cs="Arial"/>
          <w:sz w:val="24"/>
          <w:szCs w:val="24"/>
        </w:rPr>
        <w:t xml:space="preserve">protect public health from harmful chemicals by </w:t>
      </w:r>
      <w:r w:rsidR="003C5064" w:rsidRPr="003C5064">
        <w:rPr>
          <w:rFonts w:ascii="Arial" w:hAnsi="Arial" w:cs="Arial"/>
          <w:sz w:val="24"/>
          <w:szCs w:val="24"/>
        </w:rPr>
        <w:t>investigat</w:t>
      </w:r>
      <w:r w:rsidR="006D2596">
        <w:rPr>
          <w:rFonts w:ascii="Arial" w:hAnsi="Arial" w:cs="Arial"/>
          <w:sz w:val="24"/>
          <w:szCs w:val="24"/>
        </w:rPr>
        <w:t>ing</w:t>
      </w:r>
      <w:r w:rsidR="003C5064" w:rsidRPr="003C5064">
        <w:rPr>
          <w:rFonts w:ascii="Arial" w:hAnsi="Arial" w:cs="Arial"/>
          <w:sz w:val="24"/>
          <w:szCs w:val="24"/>
        </w:rPr>
        <w:t xml:space="preserve"> and </w:t>
      </w:r>
      <w:r w:rsidR="003C5064">
        <w:rPr>
          <w:rFonts w:ascii="Arial" w:hAnsi="Arial" w:cs="Arial"/>
          <w:sz w:val="24"/>
          <w:szCs w:val="24"/>
        </w:rPr>
        <w:t>clean</w:t>
      </w:r>
      <w:r w:rsidR="006D2596">
        <w:rPr>
          <w:rFonts w:ascii="Arial" w:hAnsi="Arial" w:cs="Arial"/>
          <w:sz w:val="24"/>
          <w:szCs w:val="24"/>
        </w:rPr>
        <w:t xml:space="preserve">ing </w:t>
      </w:r>
      <w:r w:rsidR="003C5064">
        <w:rPr>
          <w:rFonts w:ascii="Arial" w:hAnsi="Arial" w:cs="Arial"/>
          <w:sz w:val="24"/>
          <w:szCs w:val="24"/>
        </w:rPr>
        <w:t>up</w:t>
      </w:r>
      <w:r w:rsidR="003C5064" w:rsidRPr="003C5064">
        <w:rPr>
          <w:rFonts w:ascii="Arial" w:hAnsi="Arial" w:cs="Arial"/>
          <w:sz w:val="24"/>
          <w:szCs w:val="24"/>
        </w:rPr>
        <w:t xml:space="preserve"> contaminated </w:t>
      </w:r>
      <w:r w:rsidR="006D2596">
        <w:rPr>
          <w:rFonts w:ascii="Arial" w:hAnsi="Arial" w:cs="Arial"/>
          <w:sz w:val="24"/>
          <w:szCs w:val="24"/>
        </w:rPr>
        <w:t>sites</w:t>
      </w:r>
      <w:r w:rsidR="00DA4D4B">
        <w:rPr>
          <w:rFonts w:ascii="Arial" w:hAnsi="Arial" w:cs="Arial"/>
          <w:sz w:val="24"/>
          <w:szCs w:val="24"/>
        </w:rPr>
        <w:t>.</w:t>
      </w:r>
      <w:r w:rsidRPr="00B31B56">
        <w:rPr>
          <w:rFonts w:ascii="Arial" w:hAnsi="Arial" w:cs="Arial"/>
          <w:sz w:val="24"/>
          <w:szCs w:val="24"/>
        </w:rPr>
        <w:t xml:space="preserve"> DTSC</w:t>
      </w:r>
      <w:r w:rsidR="00A979A2">
        <w:rPr>
          <w:rFonts w:ascii="Arial" w:hAnsi="Arial" w:cs="Arial"/>
          <w:sz w:val="24"/>
          <w:szCs w:val="24"/>
        </w:rPr>
        <w:t>’s</w:t>
      </w:r>
      <w:r w:rsidRPr="00B31B56">
        <w:rPr>
          <w:rFonts w:ascii="Arial" w:hAnsi="Arial" w:cs="Arial"/>
          <w:sz w:val="24"/>
          <w:szCs w:val="24"/>
        </w:rPr>
        <w:t xml:space="preserve"> oversight </w:t>
      </w:r>
      <w:r w:rsidR="000B3E9D" w:rsidRPr="00B31B56">
        <w:rPr>
          <w:rFonts w:ascii="Arial" w:hAnsi="Arial" w:cs="Arial"/>
          <w:sz w:val="24"/>
          <w:szCs w:val="24"/>
        </w:rPr>
        <w:t xml:space="preserve">is required </w:t>
      </w:r>
      <w:r w:rsidRPr="00B31B56">
        <w:rPr>
          <w:rFonts w:ascii="Arial" w:hAnsi="Arial" w:cs="Arial"/>
          <w:sz w:val="24"/>
          <w:szCs w:val="24"/>
        </w:rPr>
        <w:t xml:space="preserve">to certify compliance with </w:t>
      </w:r>
      <w:r w:rsidR="00E473D7" w:rsidRPr="00B31B56">
        <w:rPr>
          <w:rFonts w:ascii="Arial" w:hAnsi="Arial" w:cs="Arial"/>
          <w:sz w:val="24"/>
          <w:szCs w:val="24"/>
        </w:rPr>
        <w:t xml:space="preserve">federal and state </w:t>
      </w:r>
      <w:r w:rsidRPr="00B31B56">
        <w:rPr>
          <w:rFonts w:ascii="Arial" w:hAnsi="Arial" w:cs="Arial"/>
          <w:sz w:val="24"/>
          <w:szCs w:val="24"/>
        </w:rPr>
        <w:t xml:space="preserve">scientific and regulatory </w:t>
      </w:r>
      <w:r w:rsidR="00BB1EE5" w:rsidRPr="00B31B56">
        <w:rPr>
          <w:rFonts w:ascii="Arial" w:hAnsi="Arial" w:cs="Arial"/>
          <w:sz w:val="24"/>
          <w:szCs w:val="24"/>
        </w:rPr>
        <w:t>standards</w:t>
      </w:r>
      <w:r w:rsidRPr="00B31B56">
        <w:rPr>
          <w:rFonts w:ascii="Arial" w:hAnsi="Arial" w:cs="Arial"/>
          <w:sz w:val="24"/>
          <w:szCs w:val="24"/>
        </w:rPr>
        <w:t xml:space="preserve">. </w:t>
      </w:r>
      <w:r w:rsidR="00F07353" w:rsidRPr="00F07353">
        <w:rPr>
          <w:rFonts w:ascii="Arial" w:hAnsi="Arial" w:cs="Arial"/>
          <w:sz w:val="24"/>
          <w:szCs w:val="24"/>
        </w:rPr>
        <w:t>These cleanups provide opportunities to reuse existing facilities, restore habitats and open space, and construct cleaner, more sustainable, business</w:t>
      </w:r>
      <w:r w:rsidR="006D2596">
        <w:rPr>
          <w:rFonts w:ascii="Arial" w:hAnsi="Arial" w:cs="Arial"/>
          <w:sz w:val="24"/>
          <w:szCs w:val="24"/>
        </w:rPr>
        <w:t>es</w:t>
      </w:r>
      <w:r w:rsidR="00F07353" w:rsidRPr="00F07353">
        <w:rPr>
          <w:rFonts w:ascii="Arial" w:hAnsi="Arial" w:cs="Arial"/>
          <w:sz w:val="24"/>
          <w:szCs w:val="24"/>
        </w:rPr>
        <w:t xml:space="preserve"> and communit</w:t>
      </w:r>
      <w:r w:rsidR="006D2596">
        <w:rPr>
          <w:rFonts w:ascii="Arial" w:hAnsi="Arial" w:cs="Arial"/>
          <w:sz w:val="24"/>
          <w:szCs w:val="24"/>
        </w:rPr>
        <w:t>ies</w:t>
      </w:r>
      <w:r w:rsidR="00F07353" w:rsidRPr="00F07353">
        <w:rPr>
          <w:rFonts w:ascii="Arial" w:hAnsi="Arial" w:cs="Arial"/>
          <w:sz w:val="24"/>
          <w:szCs w:val="24"/>
        </w:rPr>
        <w:t>.</w:t>
      </w:r>
    </w:p>
    <w:p w14:paraId="7DB753B8" w14:textId="0F7DC1CE" w:rsidR="00576CED" w:rsidRDefault="004E1A40" w:rsidP="002F3CF9">
      <w:pPr>
        <w:spacing w:after="120"/>
        <w:rPr>
          <w:rFonts w:ascii="Arial" w:hAnsi="Arial" w:cs="Arial"/>
          <w:sz w:val="24"/>
          <w:szCs w:val="24"/>
        </w:rPr>
      </w:pPr>
      <w:r w:rsidRPr="004E1A40">
        <w:rPr>
          <w:rFonts w:ascii="Arial" w:hAnsi="Arial" w:cs="Arial"/>
          <w:sz w:val="24"/>
          <w:szCs w:val="24"/>
        </w:rPr>
        <w:t xml:space="preserve">The Cleanup Program presently oversees 1,800 sites in various phases of investigation and cleanup under enforcement </w:t>
      </w:r>
      <w:r w:rsidR="006D2596">
        <w:rPr>
          <w:rFonts w:ascii="Arial" w:hAnsi="Arial" w:cs="Arial"/>
          <w:sz w:val="24"/>
          <w:szCs w:val="24"/>
        </w:rPr>
        <w:t xml:space="preserve">orders or </w:t>
      </w:r>
      <w:r w:rsidR="006D2596" w:rsidRPr="004E1A40">
        <w:rPr>
          <w:rFonts w:ascii="Arial" w:hAnsi="Arial" w:cs="Arial"/>
          <w:sz w:val="24"/>
          <w:szCs w:val="24"/>
        </w:rPr>
        <w:t xml:space="preserve">voluntary </w:t>
      </w:r>
      <w:r w:rsidR="006D2596">
        <w:rPr>
          <w:rFonts w:ascii="Arial" w:hAnsi="Arial" w:cs="Arial"/>
          <w:sz w:val="24"/>
          <w:szCs w:val="24"/>
        </w:rPr>
        <w:t>agreements</w:t>
      </w:r>
      <w:r w:rsidRPr="004E1A40">
        <w:rPr>
          <w:rFonts w:ascii="Arial" w:hAnsi="Arial" w:cs="Arial"/>
          <w:sz w:val="24"/>
          <w:szCs w:val="24"/>
        </w:rPr>
        <w:t>. The sites vary in size from smaller properties located in urban areas to larger properties such as open or closed military bases.</w:t>
      </w:r>
      <w:r>
        <w:rPr>
          <w:rFonts w:ascii="Arial" w:hAnsi="Arial" w:cs="Arial"/>
          <w:sz w:val="24"/>
          <w:szCs w:val="24"/>
        </w:rPr>
        <w:t xml:space="preserve"> </w:t>
      </w:r>
      <w:r w:rsidR="00576CED">
        <w:rPr>
          <w:rFonts w:ascii="Arial" w:hAnsi="Arial" w:cs="Arial"/>
          <w:sz w:val="24"/>
          <w:szCs w:val="24"/>
        </w:rPr>
        <w:t xml:space="preserve">  </w:t>
      </w:r>
    </w:p>
    <w:p w14:paraId="3C7BD2D8" w14:textId="09C14F84" w:rsidR="008E7189" w:rsidRPr="004626AC" w:rsidRDefault="008E7189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4626AC">
        <w:rPr>
          <w:rFonts w:ascii="Arial" w:hAnsi="Arial" w:cs="Arial"/>
          <w:sz w:val="24"/>
          <w:szCs w:val="24"/>
        </w:rPr>
        <w:t xml:space="preserve">Nearly </w:t>
      </w:r>
      <w:r w:rsidR="00AD5C54">
        <w:rPr>
          <w:rFonts w:ascii="Arial" w:hAnsi="Arial" w:cs="Arial"/>
          <w:sz w:val="24"/>
          <w:szCs w:val="24"/>
        </w:rPr>
        <w:t>one</w:t>
      </w:r>
      <w:r w:rsidRPr="004626AC">
        <w:rPr>
          <w:rFonts w:ascii="Arial" w:hAnsi="Arial" w:cs="Arial"/>
          <w:sz w:val="24"/>
          <w:szCs w:val="24"/>
        </w:rPr>
        <w:t xml:space="preserve"> in </w:t>
      </w:r>
      <w:r w:rsidR="00AD5C54">
        <w:rPr>
          <w:rFonts w:ascii="Arial" w:hAnsi="Arial" w:cs="Arial"/>
          <w:sz w:val="24"/>
          <w:szCs w:val="24"/>
        </w:rPr>
        <w:t>three</w:t>
      </w:r>
      <w:r w:rsidRPr="004626AC">
        <w:rPr>
          <w:rFonts w:ascii="Arial" w:hAnsi="Arial" w:cs="Arial"/>
          <w:sz w:val="24"/>
          <w:szCs w:val="24"/>
        </w:rPr>
        <w:t xml:space="preserve"> people in California live within </w:t>
      </w:r>
      <w:r w:rsidR="00AD5C54">
        <w:rPr>
          <w:rFonts w:ascii="Arial" w:hAnsi="Arial" w:cs="Arial"/>
          <w:sz w:val="24"/>
          <w:szCs w:val="24"/>
        </w:rPr>
        <w:t xml:space="preserve">one </w:t>
      </w:r>
      <w:r w:rsidRPr="004626AC">
        <w:rPr>
          <w:rFonts w:ascii="Arial" w:hAnsi="Arial" w:cs="Arial"/>
          <w:sz w:val="24"/>
          <w:szCs w:val="24"/>
        </w:rPr>
        <w:t>mile of a site where DTSC is investigating or cleaning up contamination.</w:t>
      </w:r>
    </w:p>
    <w:p w14:paraId="75548334" w14:textId="097EC1EA" w:rsidR="008E7189" w:rsidRDefault="00536B22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Forty-six </w:t>
      </w:r>
      <w:r w:rsidR="00D33ACD">
        <w:rPr>
          <w:rFonts w:ascii="Arial" w:hAnsi="Arial" w:cs="Arial"/>
          <w:sz w:val="24"/>
          <w:szCs w:val="24"/>
        </w:rPr>
        <w:t>percent</w:t>
      </w:r>
      <w:r w:rsidR="008E7189">
        <w:rPr>
          <w:rFonts w:ascii="Arial" w:hAnsi="Arial" w:cs="Arial"/>
          <w:sz w:val="24"/>
          <w:szCs w:val="24"/>
        </w:rPr>
        <w:t xml:space="preserve"> </w:t>
      </w:r>
      <w:r w:rsidR="008E7189" w:rsidRPr="00B31B56">
        <w:rPr>
          <w:rFonts w:ascii="Arial" w:hAnsi="Arial" w:cs="Arial"/>
          <w:sz w:val="24"/>
          <w:szCs w:val="24"/>
        </w:rPr>
        <w:t xml:space="preserve">of these sites are in environmental justice communities. </w:t>
      </w:r>
    </w:p>
    <w:p w14:paraId="1BF3D39C" w14:textId="77777777" w:rsidR="001D0BB4" w:rsidRPr="00B147E6" w:rsidRDefault="001D0BB4" w:rsidP="00411EF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A3DAA76" w14:textId="00C4E0E1" w:rsidR="002E6056" w:rsidRPr="00B31B56" w:rsidRDefault="002E6056" w:rsidP="0076675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B31B56">
        <w:rPr>
          <w:rFonts w:ascii="Arial" w:hAnsi="Arial" w:cs="Arial"/>
          <w:b/>
          <w:bCs/>
          <w:sz w:val="24"/>
          <w:szCs w:val="24"/>
        </w:rPr>
        <w:t>Program Analysis</w:t>
      </w:r>
      <w:r w:rsidR="00495666" w:rsidRPr="00B31B56">
        <w:rPr>
          <w:rFonts w:ascii="Arial" w:hAnsi="Arial" w:cs="Arial"/>
          <w:b/>
          <w:bCs/>
          <w:sz w:val="24"/>
          <w:szCs w:val="24"/>
        </w:rPr>
        <w:t xml:space="preserve"> (FY 2018-19)</w:t>
      </w:r>
    </w:p>
    <w:p w14:paraId="1378BDA5" w14:textId="0D9F2F55" w:rsidR="00957BA4" w:rsidRPr="00B31B56" w:rsidRDefault="00957BA4">
      <w:pPr>
        <w:spacing w:after="120"/>
        <w:rPr>
          <w:rFonts w:ascii="Arial" w:hAnsi="Arial" w:cs="Arial"/>
          <w:sz w:val="24"/>
          <w:szCs w:val="24"/>
        </w:rPr>
      </w:pPr>
      <w:r w:rsidRPr="13124677">
        <w:rPr>
          <w:rFonts w:ascii="Arial" w:hAnsi="Arial" w:cs="Arial"/>
          <w:sz w:val="24"/>
          <w:szCs w:val="24"/>
        </w:rPr>
        <w:t>The Cleanup Program</w:t>
      </w:r>
      <w:r w:rsidR="00446650" w:rsidRPr="13124677">
        <w:rPr>
          <w:rFonts w:ascii="Arial" w:hAnsi="Arial" w:cs="Arial"/>
          <w:sz w:val="24"/>
          <w:szCs w:val="24"/>
        </w:rPr>
        <w:t>,</w:t>
      </w:r>
      <w:r w:rsidRPr="13124677">
        <w:rPr>
          <w:rFonts w:ascii="Arial" w:hAnsi="Arial" w:cs="Arial"/>
          <w:sz w:val="24"/>
          <w:szCs w:val="24"/>
        </w:rPr>
        <w:t xml:space="preserve"> comprised of </w:t>
      </w:r>
      <w:r w:rsidR="000266B3">
        <w:rPr>
          <w:rFonts w:ascii="Arial" w:hAnsi="Arial" w:cs="Arial"/>
          <w:sz w:val="24"/>
          <w:szCs w:val="24"/>
        </w:rPr>
        <w:t>337</w:t>
      </w:r>
      <w:r w:rsidR="003C5613">
        <w:rPr>
          <w:rFonts w:ascii="Arial" w:hAnsi="Arial" w:cs="Arial"/>
          <w:sz w:val="24"/>
          <w:szCs w:val="24"/>
        </w:rPr>
        <w:t>.6</w:t>
      </w:r>
      <w:r w:rsidR="003C5613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3C5613">
        <w:rPr>
          <w:rFonts w:ascii="Arial" w:hAnsi="Arial" w:cs="Arial"/>
          <w:sz w:val="24"/>
          <w:szCs w:val="24"/>
        </w:rPr>
        <w:t xml:space="preserve"> </w:t>
      </w:r>
      <w:r w:rsidRPr="13124677">
        <w:rPr>
          <w:rFonts w:ascii="Arial" w:hAnsi="Arial" w:cs="Arial"/>
          <w:sz w:val="24"/>
          <w:szCs w:val="24"/>
        </w:rPr>
        <w:t xml:space="preserve"> </w:t>
      </w:r>
      <w:r w:rsidR="007356C9" w:rsidRPr="13124677">
        <w:rPr>
          <w:rFonts w:ascii="Arial" w:hAnsi="Arial" w:cs="Arial"/>
          <w:sz w:val="24"/>
          <w:szCs w:val="24"/>
        </w:rPr>
        <w:t>highly</w:t>
      </w:r>
      <w:r w:rsidR="00DA78DB" w:rsidRPr="13124677">
        <w:rPr>
          <w:rFonts w:ascii="Arial" w:hAnsi="Arial" w:cs="Arial"/>
          <w:sz w:val="24"/>
          <w:szCs w:val="24"/>
        </w:rPr>
        <w:t xml:space="preserve"> </w:t>
      </w:r>
      <w:r w:rsidR="007356C9" w:rsidRPr="13124677">
        <w:rPr>
          <w:rFonts w:ascii="Arial" w:hAnsi="Arial" w:cs="Arial"/>
          <w:sz w:val="24"/>
          <w:szCs w:val="24"/>
        </w:rPr>
        <w:t xml:space="preserve">skilled scientists, engineers, geologists, </w:t>
      </w:r>
      <w:r w:rsidR="00F25B3E" w:rsidRPr="13124677">
        <w:rPr>
          <w:rFonts w:ascii="Arial" w:hAnsi="Arial" w:cs="Arial"/>
          <w:sz w:val="24"/>
          <w:szCs w:val="24"/>
        </w:rPr>
        <w:t>t</w:t>
      </w:r>
      <w:r w:rsidR="007356C9" w:rsidRPr="13124677">
        <w:rPr>
          <w:rFonts w:ascii="Arial" w:hAnsi="Arial" w:cs="Arial"/>
          <w:sz w:val="24"/>
          <w:szCs w:val="24"/>
        </w:rPr>
        <w:t xml:space="preserve">oxicologists, and multidisciplinary staff, </w:t>
      </w:r>
      <w:r w:rsidR="00446650" w:rsidRPr="13124677">
        <w:rPr>
          <w:rFonts w:ascii="Arial" w:hAnsi="Arial" w:cs="Arial"/>
          <w:sz w:val="24"/>
          <w:szCs w:val="24"/>
        </w:rPr>
        <w:t xml:space="preserve">operated </w:t>
      </w:r>
      <w:r w:rsidR="007356C9" w:rsidRPr="13124677">
        <w:rPr>
          <w:rFonts w:ascii="Arial" w:hAnsi="Arial" w:cs="Arial"/>
          <w:sz w:val="24"/>
          <w:szCs w:val="24"/>
        </w:rPr>
        <w:t>with a</w:t>
      </w:r>
      <w:r w:rsidR="00F42695" w:rsidRPr="13124677">
        <w:rPr>
          <w:rFonts w:ascii="Arial" w:hAnsi="Arial" w:cs="Arial"/>
          <w:sz w:val="24"/>
          <w:szCs w:val="24"/>
        </w:rPr>
        <w:t xml:space="preserve"> $113.0 million budget.</w:t>
      </w:r>
      <w:r w:rsidR="007356C9" w:rsidRPr="13124677">
        <w:rPr>
          <w:rFonts w:ascii="Arial" w:hAnsi="Arial" w:cs="Arial"/>
          <w:sz w:val="24"/>
          <w:szCs w:val="24"/>
        </w:rPr>
        <w:t xml:space="preserve"> </w:t>
      </w:r>
    </w:p>
    <w:p w14:paraId="14DD0295" w14:textId="61B631BD" w:rsidR="00F242B4" w:rsidRPr="00F242B4" w:rsidRDefault="00C06CAB" w:rsidP="00F242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FY 2018-19, t</w:t>
      </w:r>
      <w:r w:rsidR="00957BA4" w:rsidRPr="00B31B56">
        <w:rPr>
          <w:rFonts w:ascii="Arial" w:hAnsi="Arial" w:cs="Arial"/>
          <w:sz w:val="24"/>
          <w:szCs w:val="24"/>
        </w:rPr>
        <w:t xml:space="preserve">he </w:t>
      </w:r>
      <w:r w:rsidR="006D129D" w:rsidRPr="00B31B56">
        <w:rPr>
          <w:rFonts w:ascii="Arial" w:hAnsi="Arial" w:cs="Arial"/>
          <w:sz w:val="24"/>
          <w:szCs w:val="24"/>
        </w:rPr>
        <w:t>Cleanup P</w:t>
      </w:r>
      <w:r w:rsidR="007356C9" w:rsidRPr="00B31B56">
        <w:rPr>
          <w:rFonts w:ascii="Arial" w:hAnsi="Arial" w:cs="Arial"/>
          <w:sz w:val="24"/>
          <w:szCs w:val="24"/>
        </w:rPr>
        <w:t>rogram worked on 1,756 sites, including</w:t>
      </w:r>
      <w:r w:rsidR="00951530">
        <w:rPr>
          <w:rFonts w:ascii="Arial" w:hAnsi="Arial" w:cs="Arial"/>
          <w:sz w:val="24"/>
          <w:szCs w:val="24"/>
        </w:rPr>
        <w:t>:</w:t>
      </w:r>
    </w:p>
    <w:tbl>
      <w:tblPr>
        <w:tblStyle w:val="PlainTable1"/>
        <w:tblW w:w="9108" w:type="dxa"/>
        <w:tblInd w:w="-5" w:type="dxa"/>
        <w:tblLayout w:type="fixed"/>
        <w:tblLook w:val="04A0" w:firstRow="1" w:lastRow="0" w:firstColumn="1" w:lastColumn="0" w:noHBand="0" w:noVBand="1"/>
        <w:tblDescription w:val="Program Analysis for Fiscal Year 2018-19.  Table depicts number of sites by type and a brief description."/>
      </w:tblPr>
      <w:tblGrid>
        <w:gridCol w:w="2160"/>
        <w:gridCol w:w="5220"/>
        <w:gridCol w:w="864"/>
        <w:gridCol w:w="864"/>
      </w:tblGrid>
      <w:tr w:rsidR="0097674A" w:rsidRPr="008C1A97" w14:paraId="7768C219" w14:textId="77777777" w:rsidTr="00711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51A458" w14:textId="77777777" w:rsidR="00F42695" w:rsidRPr="00411EF7" w:rsidRDefault="00F42695" w:rsidP="00F4269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Site Type</w:t>
            </w:r>
          </w:p>
        </w:tc>
        <w:tc>
          <w:tcPr>
            <w:tcW w:w="5220" w:type="dxa"/>
            <w:tcBorders>
              <w:bottom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B1A89A8" w14:textId="77777777" w:rsidR="00F42695" w:rsidRPr="00411EF7" w:rsidRDefault="00F42695" w:rsidP="00F426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41FA2A8" w14:textId="77777777" w:rsidR="00F42695" w:rsidRPr="00411EF7" w:rsidRDefault="00F42695" w:rsidP="00F426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 xml:space="preserve"># Sites 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CB002D0" w14:textId="77777777" w:rsidR="00F42695" w:rsidRPr="00411EF7" w:rsidRDefault="00F42695" w:rsidP="00F4269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% Sites</w:t>
            </w:r>
          </w:p>
        </w:tc>
      </w:tr>
      <w:tr w:rsidR="0097674A" w:rsidRPr="008C1A97" w14:paraId="49E0D466" w14:textId="77777777" w:rsidTr="0071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8EB1F70" w14:textId="77777777" w:rsidR="00F42695" w:rsidRPr="00411EF7" w:rsidRDefault="00F42695" w:rsidP="005F06F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Voluntary Agreement Cleanups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F21C3F6" w14:textId="77777777" w:rsidR="00F42695" w:rsidRPr="00411EF7" w:rsidRDefault="00F42695" w:rsidP="00F42695">
            <w:pPr>
              <w:tabs>
                <w:tab w:val="left" w:pos="108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Brownfields that prospective purchasers may receive liability protection for existing contamination when cleaning up and redeveloping properties.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D6777A8" w14:textId="77777777" w:rsidR="00F42695" w:rsidRPr="00411EF7" w:rsidRDefault="00F42695" w:rsidP="00F426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5661FDA" w14:textId="77777777" w:rsidR="00F42695" w:rsidRPr="00411EF7" w:rsidRDefault="00F42695" w:rsidP="00AD5C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97674A" w:rsidRPr="005F06FA" w14:paraId="3E62E0E6" w14:textId="77777777" w:rsidTr="007112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1411D9A" w14:textId="77777777" w:rsidR="00F42695" w:rsidRPr="00411EF7" w:rsidRDefault="00F42695" w:rsidP="005F06F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 xml:space="preserve">State Response 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A1980E6" w14:textId="7ECEADE1" w:rsidR="00F42695" w:rsidRPr="00411EF7" w:rsidRDefault="00F42695" w:rsidP="005F06FA">
            <w:pPr>
              <w:tabs>
                <w:tab w:val="left" w:pos="10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State Superfund sites</w:t>
            </w:r>
            <w:r w:rsidR="00A072CC">
              <w:rPr>
                <w:rFonts w:ascii="Arial" w:hAnsi="Arial" w:cs="Arial"/>
                <w:sz w:val="20"/>
                <w:szCs w:val="20"/>
              </w:rPr>
              <w:t>. Responsible parties fund cleanup</w:t>
            </w:r>
            <w:r w:rsidR="00470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F72DD3B" w14:textId="77777777" w:rsidR="00F42695" w:rsidRPr="00411EF7" w:rsidRDefault="00F42695" w:rsidP="005F06FA">
            <w:pPr>
              <w:tabs>
                <w:tab w:val="left" w:pos="108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9E0CEF" w14:textId="77777777" w:rsidR="00F42695" w:rsidRPr="00411EF7" w:rsidRDefault="00F42695" w:rsidP="00411EF7">
            <w:pPr>
              <w:tabs>
                <w:tab w:val="left" w:pos="108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97674A" w:rsidRPr="008C1A97" w14:paraId="6E6CA96E" w14:textId="77777777" w:rsidTr="0071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25ABA9B" w14:textId="77777777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 xml:space="preserve">Schools 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DB5D175" w14:textId="5851D7C3" w:rsidR="00F42695" w:rsidRPr="00411EF7" w:rsidRDefault="00F42695" w:rsidP="00F426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K-12 schools that use state funds for new or expanded facilities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33146CD" w14:textId="77777777" w:rsidR="00F42695" w:rsidRPr="00411EF7" w:rsidRDefault="00F42695" w:rsidP="00F426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4760362" w14:textId="77777777" w:rsidR="00F42695" w:rsidRPr="00411EF7" w:rsidRDefault="00F42695" w:rsidP="00AD5C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7674A" w:rsidRPr="008C1A97" w14:paraId="1569FDF7" w14:textId="77777777" w:rsidTr="007112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9ACD147" w14:textId="48C3DB0A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Corrective Action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5E5756C" w14:textId="5814243D" w:rsidR="00F42695" w:rsidRPr="00411EF7" w:rsidRDefault="00F42695" w:rsidP="00F426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Sites contaminated with hazardous waste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ED687E6" w14:textId="77777777" w:rsidR="00F42695" w:rsidRPr="00411EF7" w:rsidRDefault="00F42695" w:rsidP="00F426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287053" w14:textId="77777777" w:rsidR="00F42695" w:rsidRPr="00411EF7" w:rsidRDefault="00F42695" w:rsidP="00AD5C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7674A" w:rsidRPr="008C1A97" w14:paraId="69DEC731" w14:textId="77777777" w:rsidTr="0071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E40B018" w14:textId="77777777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Federal and State Orphan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2B04783" w14:textId="189DF61D" w:rsidR="00F42695" w:rsidRPr="00411EF7" w:rsidRDefault="00F42695" w:rsidP="00F426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Federal orphan Superfund sites/U.S. EPA has designated DTSC as the lead statewide agency. State orphan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 xml:space="preserve"> sites/DTSC is lead agency and responsible for cleanup</w:t>
            </w:r>
            <w:r w:rsidRPr="00411EF7">
              <w:rPr>
                <w:rFonts w:ascii="Arial" w:hAnsi="Arial" w:cs="Arial"/>
                <w:sz w:val="20"/>
                <w:szCs w:val="20"/>
              </w:rPr>
              <w:t>. Both are publicly funded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FB4284F" w14:textId="77777777" w:rsidR="00F42695" w:rsidRPr="00411EF7" w:rsidRDefault="00F42695" w:rsidP="00F426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D7B2FA0" w14:textId="77777777" w:rsidR="00F42695" w:rsidRPr="00411EF7" w:rsidRDefault="00F42695" w:rsidP="00AD5C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97674A" w:rsidRPr="008C1A97" w14:paraId="5BD85B57" w14:textId="77777777" w:rsidTr="007112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28C9A3D" w14:textId="77777777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Federal Superfund</w:t>
            </w:r>
          </w:p>
        </w:tc>
        <w:tc>
          <w:tcPr>
            <w:tcW w:w="522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705DE2C" w14:textId="2F7F5BEF" w:rsidR="00F42695" w:rsidRPr="00411EF7" w:rsidRDefault="00F42695" w:rsidP="00F426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U.S.EPA is lead agency, DTSC enforces state standards. Responsible parties fund cleanup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728E075" w14:textId="77777777" w:rsidR="00F42695" w:rsidRPr="00411EF7" w:rsidRDefault="00F42695" w:rsidP="00F426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6378AE5" w14:textId="77777777" w:rsidR="00F42695" w:rsidRPr="00411EF7" w:rsidRDefault="00F42695" w:rsidP="00AD5C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7674A" w:rsidRPr="008C1A97" w14:paraId="24E910B1" w14:textId="77777777" w:rsidTr="0071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3504E1" w14:textId="77777777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B08F146" w14:textId="56CF3446" w:rsidR="00F42695" w:rsidRPr="00411EF7" w:rsidRDefault="00F42695" w:rsidP="00F426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Investigations using CalMortgage loans or federal grants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11CD37B" w14:textId="77777777" w:rsidR="00F42695" w:rsidRPr="00411EF7" w:rsidRDefault="00F42695" w:rsidP="00F426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9EA19B4" w14:textId="77777777" w:rsidR="00F42695" w:rsidRPr="00411EF7" w:rsidRDefault="00F42695" w:rsidP="00AD5C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97674A" w:rsidRPr="008C1A97" w14:paraId="24F6407A" w14:textId="77777777" w:rsidTr="0071127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C322B59" w14:textId="77777777" w:rsidR="00F42695" w:rsidRPr="00411EF7" w:rsidRDefault="00F42695" w:rsidP="00F426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 xml:space="preserve">Military </w:t>
            </w:r>
          </w:p>
        </w:tc>
        <w:tc>
          <w:tcPr>
            <w:tcW w:w="522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BB5AF07" w14:textId="43F6B551" w:rsidR="00F42695" w:rsidRPr="00411EF7" w:rsidRDefault="00F42695" w:rsidP="00F426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Open and closed military bases and other defense sites</w:t>
            </w:r>
            <w:r w:rsidR="003D3134" w:rsidRPr="00411E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087424" w14:textId="77777777" w:rsidR="00F42695" w:rsidRPr="00411EF7" w:rsidRDefault="00F42695" w:rsidP="00F426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35C3F54" w14:textId="77777777" w:rsidR="00F42695" w:rsidRPr="00411EF7" w:rsidRDefault="00F42695" w:rsidP="00AD5C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1EF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14:paraId="003EDEB7" w14:textId="77777777" w:rsidR="009248FB" w:rsidRDefault="009248FB">
      <w:pPr>
        <w:spacing w:after="120"/>
        <w:rPr>
          <w:rFonts w:ascii="Arial" w:hAnsi="Arial" w:cs="Arial"/>
          <w:sz w:val="24"/>
          <w:szCs w:val="24"/>
        </w:rPr>
      </w:pPr>
    </w:p>
    <w:p w14:paraId="360817B8" w14:textId="7598B1AC" w:rsidR="006D129D" w:rsidRPr="00B31B56" w:rsidRDefault="004639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t</w:t>
      </w:r>
      <w:r w:rsidR="006D129D" w:rsidRPr="00B31B56">
        <w:rPr>
          <w:rFonts w:ascii="Arial" w:hAnsi="Arial" w:cs="Arial"/>
          <w:sz w:val="24"/>
          <w:szCs w:val="24"/>
        </w:rPr>
        <w:t xml:space="preserve">he Cleanup Program </w:t>
      </w:r>
      <w:r w:rsidR="00346B56">
        <w:rPr>
          <w:rFonts w:ascii="Arial" w:hAnsi="Arial" w:cs="Arial"/>
          <w:sz w:val="24"/>
          <w:szCs w:val="24"/>
        </w:rPr>
        <w:t xml:space="preserve">cleared 161 sites for reuse </w:t>
      </w:r>
      <w:r w:rsidR="00951530">
        <w:rPr>
          <w:rFonts w:ascii="Arial" w:hAnsi="Arial" w:cs="Arial"/>
          <w:sz w:val="24"/>
          <w:szCs w:val="24"/>
        </w:rPr>
        <w:t>in</w:t>
      </w:r>
      <w:r w:rsidR="00424A18" w:rsidRPr="00B31B56">
        <w:rPr>
          <w:rFonts w:ascii="Arial" w:hAnsi="Arial" w:cs="Arial"/>
          <w:sz w:val="24"/>
          <w:szCs w:val="24"/>
        </w:rPr>
        <w:t xml:space="preserve"> </w:t>
      </w:r>
      <w:r w:rsidR="006D129D" w:rsidRPr="00B31B56">
        <w:rPr>
          <w:rFonts w:ascii="Arial" w:hAnsi="Arial" w:cs="Arial"/>
          <w:sz w:val="24"/>
          <w:szCs w:val="24"/>
        </w:rPr>
        <w:t>residential, commercial, or industrial development</w:t>
      </w:r>
      <w:r w:rsidR="005E302D">
        <w:rPr>
          <w:rFonts w:ascii="Arial" w:hAnsi="Arial" w:cs="Arial"/>
          <w:sz w:val="24"/>
          <w:szCs w:val="24"/>
        </w:rPr>
        <w:t>. Program staff</w:t>
      </w:r>
      <w:r w:rsidR="006D129D" w:rsidRPr="00B31B56">
        <w:rPr>
          <w:rFonts w:ascii="Arial" w:hAnsi="Arial" w:cs="Arial"/>
          <w:sz w:val="24"/>
          <w:szCs w:val="24"/>
        </w:rPr>
        <w:t xml:space="preserve"> met or exceeded project milestones for site characterizations and </w:t>
      </w:r>
      <w:r w:rsidR="003241BB">
        <w:rPr>
          <w:rFonts w:ascii="Arial" w:hAnsi="Arial" w:cs="Arial"/>
          <w:sz w:val="24"/>
          <w:szCs w:val="24"/>
        </w:rPr>
        <w:t>cleanup plans</w:t>
      </w:r>
      <w:r w:rsidR="00B77C55">
        <w:rPr>
          <w:rFonts w:ascii="Arial" w:hAnsi="Arial" w:cs="Arial"/>
          <w:sz w:val="24"/>
          <w:szCs w:val="24"/>
        </w:rPr>
        <w:t>.</w:t>
      </w:r>
      <w:r w:rsidR="006D129D" w:rsidRPr="00B31B56">
        <w:rPr>
          <w:rFonts w:ascii="Arial" w:hAnsi="Arial" w:cs="Arial"/>
          <w:sz w:val="24"/>
          <w:szCs w:val="24"/>
        </w:rPr>
        <w:t xml:space="preserve"> </w:t>
      </w:r>
    </w:p>
    <w:p w14:paraId="0C8E2D80" w14:textId="23ED650C" w:rsidR="000B3E9D" w:rsidRPr="00B31B56" w:rsidRDefault="00B31B56">
      <w:pPr>
        <w:spacing w:after="12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 xml:space="preserve">The </w:t>
      </w:r>
      <w:r w:rsidR="006D2596">
        <w:rPr>
          <w:rFonts w:ascii="Arial" w:hAnsi="Arial" w:cs="Arial"/>
          <w:sz w:val="24"/>
          <w:szCs w:val="24"/>
        </w:rPr>
        <w:t xml:space="preserve">Cleanup </w:t>
      </w:r>
      <w:r w:rsidR="0046393F">
        <w:rPr>
          <w:rFonts w:ascii="Arial" w:hAnsi="Arial" w:cs="Arial"/>
          <w:sz w:val="24"/>
          <w:szCs w:val="24"/>
        </w:rPr>
        <w:t>P</w:t>
      </w:r>
      <w:r w:rsidRPr="00B31B56">
        <w:rPr>
          <w:rFonts w:ascii="Arial" w:hAnsi="Arial" w:cs="Arial"/>
          <w:sz w:val="24"/>
          <w:szCs w:val="24"/>
        </w:rPr>
        <w:t>rogram is creating a culture of process improvements</w:t>
      </w:r>
      <w:r w:rsidR="006D2596">
        <w:rPr>
          <w:rFonts w:ascii="Arial" w:hAnsi="Arial" w:cs="Arial"/>
          <w:sz w:val="24"/>
          <w:szCs w:val="24"/>
        </w:rPr>
        <w:t>,</w:t>
      </w:r>
      <w:r w:rsidRPr="00B31B56">
        <w:rPr>
          <w:rFonts w:ascii="Arial" w:hAnsi="Arial" w:cs="Arial"/>
          <w:sz w:val="24"/>
          <w:szCs w:val="24"/>
        </w:rPr>
        <w:t xml:space="preserve"> </w:t>
      </w:r>
      <w:r w:rsidR="00AF60D1">
        <w:rPr>
          <w:rFonts w:ascii="Arial" w:hAnsi="Arial" w:cs="Arial"/>
          <w:sz w:val="24"/>
          <w:szCs w:val="24"/>
        </w:rPr>
        <w:t>identifying opportunit</w:t>
      </w:r>
      <w:r w:rsidR="00424A18">
        <w:rPr>
          <w:rFonts w:ascii="Arial" w:hAnsi="Arial" w:cs="Arial"/>
          <w:sz w:val="24"/>
          <w:szCs w:val="24"/>
        </w:rPr>
        <w:t>ies</w:t>
      </w:r>
      <w:r w:rsidR="00AF60D1">
        <w:rPr>
          <w:rFonts w:ascii="Arial" w:hAnsi="Arial" w:cs="Arial"/>
          <w:sz w:val="24"/>
          <w:szCs w:val="24"/>
        </w:rPr>
        <w:t xml:space="preserve"> for </w:t>
      </w:r>
      <w:r w:rsidRPr="00B31B56">
        <w:rPr>
          <w:rFonts w:ascii="Arial" w:hAnsi="Arial" w:cs="Arial"/>
          <w:sz w:val="24"/>
          <w:szCs w:val="24"/>
        </w:rPr>
        <w:t>program enhancements</w:t>
      </w:r>
      <w:r w:rsidR="006D2596">
        <w:rPr>
          <w:rFonts w:ascii="Arial" w:hAnsi="Arial" w:cs="Arial"/>
          <w:sz w:val="24"/>
          <w:szCs w:val="24"/>
        </w:rPr>
        <w:t xml:space="preserve">, and </w:t>
      </w:r>
      <w:r w:rsidR="00B77C55">
        <w:rPr>
          <w:rFonts w:ascii="Arial" w:hAnsi="Arial" w:cs="Arial"/>
          <w:sz w:val="24"/>
          <w:szCs w:val="24"/>
        </w:rPr>
        <w:t>streamlining</w:t>
      </w:r>
      <w:r w:rsidR="000B3E9D" w:rsidRPr="00B31B56">
        <w:rPr>
          <w:rFonts w:ascii="Arial" w:hAnsi="Arial" w:cs="Arial"/>
          <w:sz w:val="24"/>
          <w:szCs w:val="24"/>
        </w:rPr>
        <w:t xml:space="preserve"> its delivery of service</w:t>
      </w:r>
      <w:r w:rsidR="008B01EA">
        <w:rPr>
          <w:rFonts w:ascii="Arial" w:hAnsi="Arial" w:cs="Arial"/>
          <w:sz w:val="24"/>
          <w:szCs w:val="24"/>
        </w:rPr>
        <w:t>s</w:t>
      </w:r>
      <w:r w:rsidR="00856466" w:rsidRPr="00B31B56">
        <w:rPr>
          <w:rFonts w:ascii="Arial" w:hAnsi="Arial" w:cs="Arial"/>
          <w:sz w:val="24"/>
          <w:szCs w:val="24"/>
        </w:rPr>
        <w:t xml:space="preserve"> by</w:t>
      </w:r>
      <w:r w:rsidR="000B3E9D" w:rsidRPr="00B31B56">
        <w:rPr>
          <w:rFonts w:ascii="Arial" w:hAnsi="Arial" w:cs="Arial"/>
          <w:sz w:val="24"/>
          <w:szCs w:val="24"/>
        </w:rPr>
        <w:t xml:space="preserve">: </w:t>
      </w:r>
    </w:p>
    <w:p w14:paraId="45744697" w14:textId="6C48FF2B" w:rsidR="00957BA4" w:rsidRPr="00B31B56" w:rsidRDefault="00A12D55" w:rsidP="00766755">
      <w:pPr>
        <w:pStyle w:val="ListParagraph"/>
        <w:numPr>
          <w:ilvl w:val="1"/>
          <w:numId w:val="5"/>
        </w:numPr>
        <w:spacing w:after="60"/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Implementing efficiencies for</w:t>
      </w:r>
      <w:r w:rsidR="007C57B5" w:rsidRPr="00B31B5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timely review </w:t>
      </w:r>
      <w:r w:rsidR="007C57B5" w:rsidRPr="00B31B56">
        <w:rPr>
          <w:rFonts w:ascii="Arial" w:hAnsi="Arial" w:cs="Arial"/>
          <w:sz w:val="24"/>
          <w:szCs w:val="24"/>
        </w:rPr>
        <w:t>of reports</w:t>
      </w:r>
      <w:r w:rsidR="004639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6393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 timelines have improved</w:t>
      </w:r>
      <w:r w:rsidR="007C57B5" w:rsidRPr="00B31B56">
        <w:rPr>
          <w:rFonts w:ascii="Arial" w:hAnsi="Arial" w:cs="Arial"/>
          <w:sz w:val="24"/>
          <w:szCs w:val="24"/>
        </w:rPr>
        <w:t xml:space="preserve"> by 95</w:t>
      </w:r>
      <w:r w:rsidR="005E302D">
        <w:rPr>
          <w:rFonts w:ascii="Arial" w:hAnsi="Arial" w:cs="Arial"/>
          <w:sz w:val="24"/>
          <w:szCs w:val="24"/>
        </w:rPr>
        <w:t xml:space="preserve"> percent</w:t>
      </w:r>
      <w:r w:rsidR="00957BA4" w:rsidRPr="00B31B56">
        <w:rPr>
          <w:rFonts w:ascii="Arial" w:hAnsi="Arial" w:cs="Arial"/>
          <w:sz w:val="24"/>
          <w:szCs w:val="24"/>
        </w:rPr>
        <w:t>.</w:t>
      </w:r>
    </w:p>
    <w:p w14:paraId="18C4E673" w14:textId="77777777" w:rsidR="00856466" w:rsidRPr="00B31B56" w:rsidRDefault="007C57B5" w:rsidP="00766755">
      <w:pPr>
        <w:pStyle w:val="ListParagraph"/>
        <w:numPr>
          <w:ilvl w:val="1"/>
          <w:numId w:val="5"/>
        </w:numPr>
        <w:spacing w:after="60"/>
        <w:ind w:left="720"/>
        <w:contextualSpacing w:val="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 xml:space="preserve">Tracking progress and increasing accountability with </w:t>
      </w:r>
      <w:r w:rsidR="00856466" w:rsidRPr="00B31B56">
        <w:rPr>
          <w:rFonts w:ascii="Arial" w:hAnsi="Arial" w:cs="Arial"/>
          <w:sz w:val="24"/>
          <w:szCs w:val="24"/>
        </w:rPr>
        <w:t>visual management tools.</w:t>
      </w:r>
    </w:p>
    <w:p w14:paraId="54C98A37" w14:textId="563F46DE" w:rsidR="00856466" w:rsidRPr="00B31B56" w:rsidRDefault="007C57B5" w:rsidP="00766755">
      <w:pPr>
        <w:pStyle w:val="ListParagraph"/>
        <w:numPr>
          <w:ilvl w:val="1"/>
          <w:numId w:val="5"/>
        </w:numPr>
        <w:spacing w:after="60"/>
        <w:ind w:left="720"/>
        <w:contextualSpacing w:val="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>Reorganizing</w:t>
      </w:r>
      <w:r w:rsidR="00856466" w:rsidRPr="00B31B56">
        <w:rPr>
          <w:rFonts w:ascii="Arial" w:hAnsi="Arial" w:cs="Arial"/>
          <w:sz w:val="24"/>
          <w:szCs w:val="24"/>
        </w:rPr>
        <w:t xml:space="preserve"> </w:t>
      </w:r>
      <w:r w:rsidRPr="00B31B56">
        <w:rPr>
          <w:rFonts w:ascii="Arial" w:hAnsi="Arial" w:cs="Arial"/>
          <w:sz w:val="24"/>
          <w:szCs w:val="24"/>
        </w:rPr>
        <w:t xml:space="preserve">the </w:t>
      </w:r>
      <w:r w:rsidR="003D3134">
        <w:rPr>
          <w:rFonts w:ascii="Arial" w:hAnsi="Arial" w:cs="Arial"/>
          <w:sz w:val="24"/>
          <w:szCs w:val="24"/>
        </w:rPr>
        <w:t>p</w:t>
      </w:r>
      <w:r w:rsidR="00856466" w:rsidRPr="00B31B56">
        <w:rPr>
          <w:rFonts w:ascii="Arial" w:hAnsi="Arial" w:cs="Arial"/>
          <w:sz w:val="24"/>
          <w:szCs w:val="24"/>
        </w:rPr>
        <w:t xml:space="preserve">rogram to better align resources with work, </w:t>
      </w:r>
      <w:r w:rsidR="00DA78DB" w:rsidRPr="00B31B56">
        <w:rPr>
          <w:rFonts w:ascii="Arial" w:hAnsi="Arial" w:cs="Arial"/>
          <w:sz w:val="24"/>
          <w:szCs w:val="24"/>
        </w:rPr>
        <w:t xml:space="preserve">training staff on Lean </w:t>
      </w:r>
      <w:r w:rsidR="00EC654B">
        <w:rPr>
          <w:rFonts w:ascii="Arial" w:hAnsi="Arial" w:cs="Arial"/>
          <w:sz w:val="24"/>
          <w:szCs w:val="24"/>
        </w:rPr>
        <w:t>6-</w:t>
      </w:r>
      <w:r w:rsidR="00DA78DB" w:rsidRPr="00B31B56">
        <w:rPr>
          <w:rFonts w:ascii="Arial" w:hAnsi="Arial" w:cs="Arial"/>
          <w:sz w:val="24"/>
          <w:szCs w:val="24"/>
        </w:rPr>
        <w:t xml:space="preserve">Sigma process improvements, and </w:t>
      </w:r>
      <w:r w:rsidRPr="00B31B56">
        <w:rPr>
          <w:rFonts w:ascii="Arial" w:hAnsi="Arial" w:cs="Arial"/>
          <w:sz w:val="24"/>
          <w:szCs w:val="24"/>
        </w:rPr>
        <w:t xml:space="preserve">developing dashboard </w:t>
      </w:r>
      <w:r w:rsidR="00856466" w:rsidRPr="00B31B56">
        <w:rPr>
          <w:rFonts w:ascii="Arial" w:hAnsi="Arial" w:cs="Arial"/>
          <w:sz w:val="24"/>
          <w:szCs w:val="24"/>
        </w:rPr>
        <w:t>project management tools</w:t>
      </w:r>
      <w:r w:rsidR="004F064C" w:rsidRPr="00B31B56">
        <w:rPr>
          <w:rFonts w:ascii="Arial" w:hAnsi="Arial" w:cs="Arial"/>
          <w:sz w:val="24"/>
          <w:szCs w:val="24"/>
        </w:rPr>
        <w:t>.</w:t>
      </w:r>
    </w:p>
    <w:p w14:paraId="2C4F7EEC" w14:textId="77777777" w:rsidR="001D0BB4" w:rsidRPr="009248FB" w:rsidRDefault="001D0BB4" w:rsidP="00411EF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79570FE" w14:textId="50DC3E51" w:rsidR="004F064C" w:rsidRPr="00B31B56" w:rsidRDefault="00BE7FAC" w:rsidP="00766755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Resource Gap Analysis</w:t>
      </w:r>
    </w:p>
    <w:p w14:paraId="6B1CA8F2" w14:textId="2B4DFDB5" w:rsidR="006D129D" w:rsidRPr="00B31B56" w:rsidRDefault="003C56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an estimated 200,000</w:t>
      </w:r>
      <w:r w:rsidR="005E7E51" w:rsidRPr="00B31B56">
        <w:rPr>
          <w:rFonts w:ascii="Arial" w:hAnsi="Arial" w:cs="Arial"/>
          <w:sz w:val="24"/>
          <w:szCs w:val="24"/>
        </w:rPr>
        <w:t xml:space="preserve"> undiscovered contaminated sites</w:t>
      </w:r>
      <w:r>
        <w:rPr>
          <w:rFonts w:ascii="Arial" w:hAnsi="Arial" w:cs="Arial"/>
          <w:sz w:val="24"/>
          <w:szCs w:val="24"/>
        </w:rPr>
        <w:t xml:space="preserve"> in California.  </w:t>
      </w:r>
    </w:p>
    <w:p w14:paraId="458A429A" w14:textId="4BEB203C" w:rsidR="007C57B5" w:rsidRPr="00B31B56" w:rsidRDefault="00A51DA6" w:rsidP="007355FD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>The</w:t>
      </w:r>
      <w:r w:rsidR="007C57B5" w:rsidRPr="00B31B56">
        <w:rPr>
          <w:rFonts w:ascii="Arial" w:hAnsi="Arial" w:cs="Arial"/>
          <w:sz w:val="24"/>
          <w:szCs w:val="24"/>
        </w:rPr>
        <w:t xml:space="preserve"> Cleanup Program is not resourced to support a site discovery program</w:t>
      </w:r>
      <w:r w:rsidR="00974F28">
        <w:rPr>
          <w:rFonts w:ascii="Arial" w:hAnsi="Arial" w:cs="Arial"/>
          <w:sz w:val="24"/>
          <w:szCs w:val="24"/>
        </w:rPr>
        <w:t xml:space="preserve"> that</w:t>
      </w:r>
      <w:r w:rsidR="00866839">
        <w:rPr>
          <w:rFonts w:ascii="Arial" w:hAnsi="Arial" w:cs="Arial"/>
          <w:sz w:val="24"/>
          <w:szCs w:val="24"/>
        </w:rPr>
        <w:t xml:space="preserve"> </w:t>
      </w:r>
      <w:r w:rsidR="00974F28">
        <w:rPr>
          <w:rFonts w:ascii="Arial" w:hAnsi="Arial" w:cs="Arial"/>
          <w:sz w:val="24"/>
          <w:szCs w:val="24"/>
        </w:rPr>
        <w:t>identif</w:t>
      </w:r>
      <w:r w:rsidR="00866839">
        <w:rPr>
          <w:rFonts w:ascii="Arial" w:hAnsi="Arial" w:cs="Arial"/>
          <w:sz w:val="24"/>
          <w:szCs w:val="24"/>
        </w:rPr>
        <w:t>ies</w:t>
      </w:r>
      <w:r w:rsidR="00974F28">
        <w:rPr>
          <w:rFonts w:ascii="Arial" w:hAnsi="Arial" w:cs="Arial"/>
          <w:sz w:val="24"/>
          <w:szCs w:val="24"/>
        </w:rPr>
        <w:t xml:space="preserve"> sites that threaten public health</w:t>
      </w:r>
      <w:r w:rsidR="00866839">
        <w:rPr>
          <w:rFonts w:ascii="Arial" w:hAnsi="Arial" w:cs="Arial"/>
          <w:sz w:val="24"/>
          <w:szCs w:val="24"/>
        </w:rPr>
        <w:t xml:space="preserve">. This is a vital first step in </w:t>
      </w:r>
      <w:r w:rsidR="00974F28">
        <w:rPr>
          <w:rFonts w:ascii="Arial" w:hAnsi="Arial" w:cs="Arial"/>
          <w:sz w:val="24"/>
          <w:szCs w:val="24"/>
        </w:rPr>
        <w:t>initiat</w:t>
      </w:r>
      <w:r w:rsidR="00866839">
        <w:rPr>
          <w:rFonts w:ascii="Arial" w:hAnsi="Arial" w:cs="Arial"/>
          <w:sz w:val="24"/>
          <w:szCs w:val="24"/>
        </w:rPr>
        <w:t>ing needed</w:t>
      </w:r>
      <w:r w:rsidR="00974F28">
        <w:rPr>
          <w:rFonts w:ascii="Arial" w:hAnsi="Arial" w:cs="Arial"/>
          <w:sz w:val="24"/>
          <w:szCs w:val="24"/>
        </w:rPr>
        <w:t xml:space="preserve"> cleanup work that </w:t>
      </w:r>
      <w:r w:rsidR="00866839">
        <w:rPr>
          <w:rFonts w:ascii="Arial" w:hAnsi="Arial" w:cs="Arial"/>
          <w:sz w:val="24"/>
          <w:szCs w:val="24"/>
        </w:rPr>
        <w:t xml:space="preserve">can </w:t>
      </w:r>
      <w:r w:rsidR="00974F28">
        <w:rPr>
          <w:rFonts w:ascii="Arial" w:hAnsi="Arial" w:cs="Arial"/>
          <w:sz w:val="24"/>
          <w:szCs w:val="24"/>
        </w:rPr>
        <w:t>help to revitalize communities, spur housing development and economic growth</w:t>
      </w:r>
      <w:r w:rsidR="0046393F">
        <w:rPr>
          <w:rFonts w:ascii="Arial" w:hAnsi="Arial" w:cs="Arial"/>
          <w:sz w:val="24"/>
          <w:szCs w:val="24"/>
        </w:rPr>
        <w:t>,</w:t>
      </w:r>
      <w:r w:rsidR="00974F28">
        <w:rPr>
          <w:rFonts w:ascii="Arial" w:hAnsi="Arial" w:cs="Arial"/>
          <w:sz w:val="24"/>
          <w:szCs w:val="24"/>
        </w:rPr>
        <w:t xml:space="preserve"> and protect drinking water supplies</w:t>
      </w:r>
      <w:r w:rsidR="007C57B5" w:rsidRPr="00B31B56">
        <w:rPr>
          <w:rFonts w:ascii="Arial" w:hAnsi="Arial" w:cs="Arial"/>
          <w:sz w:val="24"/>
          <w:szCs w:val="24"/>
        </w:rPr>
        <w:t xml:space="preserve">. </w:t>
      </w:r>
    </w:p>
    <w:p w14:paraId="6429DCFE" w14:textId="7C420920" w:rsidR="005E7E51" w:rsidRPr="00B31B56" w:rsidRDefault="005E7E51" w:rsidP="00766755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 xml:space="preserve">15,000 </w:t>
      </w:r>
      <w:r w:rsidR="007C57B5" w:rsidRPr="00B31B56">
        <w:rPr>
          <w:rFonts w:ascii="Arial" w:hAnsi="Arial" w:cs="Arial"/>
          <w:sz w:val="24"/>
          <w:szCs w:val="24"/>
        </w:rPr>
        <w:t xml:space="preserve">known </w:t>
      </w:r>
      <w:r w:rsidRPr="00B31B56">
        <w:rPr>
          <w:rFonts w:ascii="Arial" w:hAnsi="Arial" w:cs="Arial"/>
          <w:sz w:val="24"/>
          <w:szCs w:val="24"/>
        </w:rPr>
        <w:t>contaminated sites</w:t>
      </w:r>
      <w:r w:rsidR="00BF79F2" w:rsidRPr="00B31B56">
        <w:rPr>
          <w:rFonts w:ascii="Arial" w:hAnsi="Arial" w:cs="Arial"/>
          <w:sz w:val="24"/>
          <w:szCs w:val="24"/>
        </w:rPr>
        <w:t xml:space="preserve"> need assessment and potential cleanup</w:t>
      </w:r>
      <w:r w:rsidR="00C90665">
        <w:rPr>
          <w:rFonts w:ascii="Arial" w:hAnsi="Arial" w:cs="Arial"/>
          <w:sz w:val="24"/>
          <w:szCs w:val="24"/>
        </w:rPr>
        <w:t>, including 8,600 dry cleaner sites that can threaten groundwater and people in nearby structures</w:t>
      </w:r>
    </w:p>
    <w:p w14:paraId="350FEE51" w14:textId="1E2A5248" w:rsidR="005E61BE" w:rsidRPr="00A7016B" w:rsidRDefault="00DA78DB" w:rsidP="007355FD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B31B56">
        <w:rPr>
          <w:rFonts w:ascii="Arial" w:hAnsi="Arial" w:cs="Arial"/>
          <w:sz w:val="24"/>
          <w:szCs w:val="24"/>
        </w:rPr>
        <w:t xml:space="preserve">With 55 </w:t>
      </w:r>
      <w:r w:rsidR="00F172C3">
        <w:rPr>
          <w:rFonts w:ascii="Arial" w:hAnsi="Arial" w:cs="Arial"/>
          <w:sz w:val="24"/>
          <w:szCs w:val="24"/>
        </w:rPr>
        <w:t>additional positions,</w:t>
      </w:r>
      <w:r w:rsidRPr="00B31B56">
        <w:rPr>
          <w:rFonts w:ascii="Arial" w:hAnsi="Arial" w:cs="Arial"/>
          <w:sz w:val="24"/>
          <w:szCs w:val="24"/>
        </w:rPr>
        <w:t xml:space="preserve"> the Cleanup Program </w:t>
      </w:r>
      <w:r w:rsidR="00BE7FAC">
        <w:rPr>
          <w:rFonts w:ascii="Arial" w:hAnsi="Arial" w:cs="Arial"/>
          <w:sz w:val="24"/>
          <w:szCs w:val="24"/>
        </w:rPr>
        <w:t>c</w:t>
      </w:r>
      <w:r w:rsidRPr="00B31B56">
        <w:rPr>
          <w:rFonts w:ascii="Arial" w:hAnsi="Arial" w:cs="Arial"/>
          <w:sz w:val="24"/>
          <w:szCs w:val="24"/>
        </w:rPr>
        <w:t xml:space="preserve">ould build a site discovery </w:t>
      </w:r>
      <w:r w:rsidRPr="00A7016B">
        <w:rPr>
          <w:rFonts w:ascii="Arial" w:hAnsi="Arial" w:cs="Arial"/>
          <w:sz w:val="24"/>
          <w:szCs w:val="24"/>
        </w:rPr>
        <w:t>program</w:t>
      </w:r>
      <w:r w:rsidR="00BE7FAC" w:rsidRPr="00A7016B">
        <w:rPr>
          <w:rFonts w:ascii="Arial" w:hAnsi="Arial" w:cs="Arial"/>
          <w:sz w:val="24"/>
          <w:szCs w:val="24"/>
        </w:rPr>
        <w:t>,</w:t>
      </w:r>
      <w:r w:rsidRPr="00A7016B">
        <w:rPr>
          <w:rFonts w:ascii="Arial" w:hAnsi="Arial" w:cs="Arial"/>
          <w:sz w:val="24"/>
          <w:szCs w:val="24"/>
        </w:rPr>
        <w:t xml:space="preserve"> investigate roughly 50 sites a year</w:t>
      </w:r>
      <w:r w:rsidR="00BE7FAC" w:rsidRPr="00A7016B">
        <w:rPr>
          <w:rFonts w:ascii="Arial" w:hAnsi="Arial" w:cs="Arial"/>
          <w:sz w:val="24"/>
          <w:szCs w:val="24"/>
        </w:rPr>
        <w:t>,</w:t>
      </w:r>
      <w:r w:rsidRPr="00A7016B">
        <w:rPr>
          <w:rFonts w:ascii="Arial" w:hAnsi="Arial" w:cs="Arial"/>
          <w:sz w:val="24"/>
          <w:szCs w:val="24"/>
        </w:rPr>
        <w:t xml:space="preserve"> and initiate action on an estimated 63 sites</w:t>
      </w:r>
      <w:r w:rsidR="00C90665" w:rsidRPr="00A7016B">
        <w:rPr>
          <w:rFonts w:ascii="Arial" w:hAnsi="Arial" w:cs="Arial"/>
          <w:sz w:val="24"/>
          <w:szCs w:val="24"/>
        </w:rPr>
        <w:t xml:space="preserve"> to protect public health and revitalize communities</w:t>
      </w:r>
      <w:r w:rsidRPr="00A7016B">
        <w:rPr>
          <w:rFonts w:ascii="Arial" w:hAnsi="Arial" w:cs="Arial"/>
          <w:sz w:val="24"/>
          <w:szCs w:val="24"/>
        </w:rPr>
        <w:t>.</w:t>
      </w:r>
    </w:p>
    <w:p w14:paraId="3F365E6F" w14:textId="6E960342" w:rsidR="00DA78DB" w:rsidRPr="00A7016B" w:rsidRDefault="00DA78DB" w:rsidP="00766755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sz w:val="24"/>
          <w:szCs w:val="24"/>
        </w:rPr>
      </w:pPr>
      <w:r w:rsidRPr="00A7016B">
        <w:rPr>
          <w:rFonts w:ascii="Arial" w:hAnsi="Arial" w:cs="Arial"/>
          <w:sz w:val="24"/>
          <w:szCs w:val="24"/>
        </w:rPr>
        <w:t xml:space="preserve">With 195 more </w:t>
      </w:r>
      <w:r w:rsidR="00F172C3" w:rsidRPr="00A7016B">
        <w:rPr>
          <w:rFonts w:ascii="Arial" w:hAnsi="Arial" w:cs="Arial"/>
          <w:sz w:val="24"/>
          <w:szCs w:val="24"/>
        </w:rPr>
        <w:t>positions</w:t>
      </w:r>
      <w:r w:rsidRPr="00A7016B">
        <w:rPr>
          <w:rFonts w:ascii="Arial" w:hAnsi="Arial" w:cs="Arial"/>
          <w:sz w:val="24"/>
          <w:szCs w:val="24"/>
        </w:rPr>
        <w:t>, the Cleanup Program would increase to an estimated 300 site discoveries a year and initiate action on an estimated 255 contaminated sites a year</w:t>
      </w:r>
      <w:r w:rsidR="000C3ED9" w:rsidRPr="00A7016B">
        <w:rPr>
          <w:rFonts w:ascii="Arial" w:hAnsi="Arial" w:cs="Arial"/>
          <w:sz w:val="24"/>
          <w:szCs w:val="24"/>
        </w:rPr>
        <w:t>.</w:t>
      </w:r>
    </w:p>
    <w:p w14:paraId="28393119" w14:textId="77777777" w:rsidR="00F172C3" w:rsidRPr="00411EF7" w:rsidRDefault="00957E86" w:rsidP="00411EF7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34677405"/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Th</w:t>
      </w:r>
      <w:r w:rsidR="006C6FD3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is</w:t>
      </w:r>
      <w:r w:rsidR="00BE7FAC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analysis</w:t>
      </w: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represent</w:t>
      </w:r>
      <w:r w:rsidR="006C6FD3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s</w:t>
      </w: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activities with significant resource gaps</w:t>
      </w:r>
      <w:r w:rsidR="00974F28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but does </w:t>
      </w: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not reflect all resource </w:t>
      </w:r>
      <w:r w:rsidR="006C4E74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limitations </w:t>
      </w: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impacting the </w:t>
      </w:r>
      <w:r w:rsidR="00974F28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Cleanup Program’s delivery of </w:t>
      </w: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services</w:t>
      </w:r>
      <w:r w:rsidR="006C6FD3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. </w:t>
      </w:r>
      <w:r w:rsidR="00F172C3" w:rsidRPr="00411EF7">
        <w:rPr>
          <w:rFonts w:ascii="Arial" w:hAnsi="Arial" w:cs="Arial"/>
          <w:sz w:val="24"/>
          <w:szCs w:val="24"/>
        </w:rPr>
        <w:t xml:space="preserve">Resources will be needed in other DTSC programs to support these activities.   </w:t>
      </w:r>
    </w:p>
    <w:p w14:paraId="3DF343A9" w14:textId="351D5FB4" w:rsidR="00957E86" w:rsidRPr="00957E86" w:rsidRDefault="006C6FD3" w:rsidP="00766755">
      <w:pPr>
        <w:pStyle w:val="ListParagraph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The focus on site discovery </w:t>
      </w:r>
      <w:r w:rsidR="00974F28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and cleanup of sites that revitalizes communities, provides opportunities for new housing and cleans up drinking wate</w:t>
      </w:r>
      <w:r w:rsidR="006920E9" w:rsidRPr="00A7016B">
        <w:rPr>
          <w:rFonts w:ascii="Arial" w:eastAsia="+mn-ea" w:hAnsi="Arial" w:cs="Arial"/>
          <w:color w:val="000000"/>
          <w:kern w:val="24"/>
          <w:sz w:val="24"/>
          <w:szCs w:val="24"/>
        </w:rPr>
        <w:t>r,</w:t>
      </w:r>
      <w:r w:rsidR="006920E9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which </w:t>
      </w:r>
      <w:r w:rsidRPr="005E302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aligns </w:t>
      </w:r>
      <w:r w:rsidR="00974F28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with </w:t>
      </w:r>
      <w:r w:rsidRPr="005E302D">
        <w:rPr>
          <w:rFonts w:ascii="Arial" w:eastAsia="+mn-ea" w:hAnsi="Arial" w:cs="Arial"/>
          <w:color w:val="000000"/>
          <w:kern w:val="24"/>
          <w:sz w:val="24"/>
          <w:szCs w:val="24"/>
        </w:rPr>
        <w:t>Governor Newsom’s</w:t>
      </w:r>
      <w:r w:rsidR="00206AB8" w:rsidRPr="005E302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bookmarkEnd w:id="0"/>
      <w:r w:rsidR="00463AC3">
        <w:rPr>
          <w:rFonts w:ascii="Arial" w:eastAsia="+mn-ea" w:hAnsi="Arial" w:cs="Arial"/>
          <w:color w:val="000000"/>
          <w:kern w:val="24"/>
          <w:sz w:val="24"/>
          <w:szCs w:val="24"/>
        </w:rPr>
        <w:t>Executive Order N-10-19</w:t>
      </w:r>
      <w:r w:rsidR="005E302D" w:rsidRPr="005E302D">
        <w:rPr>
          <w:rFonts w:ascii="Arial" w:eastAsia="+mn-ea" w:hAnsi="Arial" w:cs="Arial"/>
          <w:color w:val="000000"/>
          <w:kern w:val="24"/>
          <w:sz w:val="24"/>
          <w:szCs w:val="24"/>
        </w:rPr>
        <w:t>.</w:t>
      </w:r>
    </w:p>
    <w:sectPr w:rsidR="00957E86" w:rsidRPr="00957E86" w:rsidSect="000C6B8D">
      <w:footerReference w:type="default" r:id="rId11"/>
      <w:pgSz w:w="12240" w:h="15840" w:code="1"/>
      <w:pgMar w:top="1080" w:right="1440" w:bottom="126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F045" w14:textId="77777777" w:rsidR="00124DF5" w:rsidRDefault="00124DF5" w:rsidP="00746CFF">
      <w:r>
        <w:separator/>
      </w:r>
    </w:p>
  </w:endnote>
  <w:endnote w:type="continuationSeparator" w:id="0">
    <w:p w14:paraId="4A6E8BAE" w14:textId="77777777" w:rsidR="00124DF5" w:rsidRDefault="00124DF5" w:rsidP="00746CFF">
      <w:r>
        <w:continuationSeparator/>
      </w:r>
    </w:p>
  </w:endnote>
  <w:endnote w:type="continuationNotice" w:id="1">
    <w:p w14:paraId="01FEBE12" w14:textId="77777777" w:rsidR="00124DF5" w:rsidRDefault="00124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81105495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F27E27" w14:textId="2CA6C51B" w:rsidR="00746CFF" w:rsidRPr="00BD0362" w:rsidRDefault="00D4713C" w:rsidP="009248FB">
            <w:pPr>
              <w:pStyle w:val="Footer"/>
              <w:tabs>
                <w:tab w:val="clear" w:pos="46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26</w:t>
            </w:r>
            <w:r w:rsidR="00F172C3">
              <w:rPr>
                <w:rFonts w:ascii="Arial" w:hAnsi="Arial" w:cs="Arial"/>
              </w:rPr>
              <w:t>, 2020</w:t>
            </w:r>
            <w:r w:rsidR="00F172C3">
              <w:rPr>
                <w:rFonts w:ascii="Arial" w:hAnsi="Arial" w:cs="Arial"/>
              </w:rPr>
              <w:tab/>
            </w:r>
            <w:r w:rsidR="00C023C1">
              <w:rPr>
                <w:rFonts w:ascii="Arial" w:hAnsi="Arial" w:cs="Arial"/>
              </w:rPr>
              <w:t>P</w:t>
            </w:r>
            <w:r w:rsidR="00F172C3" w:rsidRPr="00F172C3">
              <w:rPr>
                <w:rFonts w:ascii="Arial" w:hAnsi="Arial" w:cs="Arial"/>
              </w:rPr>
              <w:t xml:space="preserve">age </w: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begin"/>
            </w:r>
            <w:r w:rsidR="00F172C3" w:rsidRPr="00F172C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separate"/>
            </w:r>
            <w:r w:rsidR="00F172C3" w:rsidRPr="00F172C3">
              <w:rPr>
                <w:rFonts w:ascii="Arial" w:hAnsi="Arial" w:cs="Arial"/>
                <w:b/>
                <w:bCs/>
                <w:noProof/>
              </w:rPr>
              <w:t>2</w: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end"/>
            </w:r>
            <w:r w:rsidR="00F172C3" w:rsidRPr="00F172C3">
              <w:rPr>
                <w:rFonts w:ascii="Arial" w:hAnsi="Arial" w:cs="Arial"/>
              </w:rPr>
              <w:t xml:space="preserve"> of </w: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begin"/>
            </w:r>
            <w:r w:rsidR="00F172C3" w:rsidRPr="00F172C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separate"/>
            </w:r>
            <w:r w:rsidR="00F172C3" w:rsidRPr="00F172C3">
              <w:rPr>
                <w:rFonts w:ascii="Arial" w:hAnsi="Arial" w:cs="Arial"/>
                <w:b/>
                <w:bCs/>
                <w:noProof/>
              </w:rPr>
              <w:t>2</w:t>
            </w:r>
            <w:r w:rsidR="00F172C3" w:rsidRPr="00F172C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56F1" w14:textId="77777777" w:rsidR="00124DF5" w:rsidRDefault="00124DF5" w:rsidP="00746CFF">
      <w:r>
        <w:separator/>
      </w:r>
    </w:p>
  </w:footnote>
  <w:footnote w:type="continuationSeparator" w:id="0">
    <w:p w14:paraId="3779BB24" w14:textId="77777777" w:rsidR="00124DF5" w:rsidRDefault="00124DF5" w:rsidP="00746CFF">
      <w:r>
        <w:continuationSeparator/>
      </w:r>
    </w:p>
  </w:footnote>
  <w:footnote w:type="continuationNotice" w:id="1">
    <w:p w14:paraId="1828E7BC" w14:textId="77777777" w:rsidR="00124DF5" w:rsidRDefault="00124DF5"/>
  </w:footnote>
  <w:footnote w:id="2">
    <w:p w14:paraId="43A46BA8" w14:textId="13987C1E" w:rsidR="003C5613" w:rsidRDefault="003C56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266B3">
        <w:t>Although the Cleanup Program has 342.6 authorized positions, only 337.6 were included in the workload analysis.</w:t>
      </w:r>
      <w:r>
        <w:t xml:space="preserve">  Unfunded and executive office positions were not included.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44EF"/>
    <w:multiLevelType w:val="hybridMultilevel"/>
    <w:tmpl w:val="8D4C4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FC1"/>
    <w:multiLevelType w:val="hybridMultilevel"/>
    <w:tmpl w:val="D1707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A07"/>
    <w:multiLevelType w:val="hybridMultilevel"/>
    <w:tmpl w:val="7B308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E85"/>
    <w:multiLevelType w:val="hybridMultilevel"/>
    <w:tmpl w:val="AD8EA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788B"/>
    <w:multiLevelType w:val="hybridMultilevel"/>
    <w:tmpl w:val="6D4C7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4D9"/>
    <w:multiLevelType w:val="hybridMultilevel"/>
    <w:tmpl w:val="64B84FB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7030AE7"/>
    <w:multiLevelType w:val="hybridMultilevel"/>
    <w:tmpl w:val="F9503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3D0A"/>
    <w:multiLevelType w:val="hybridMultilevel"/>
    <w:tmpl w:val="B96C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3B22"/>
    <w:multiLevelType w:val="hybridMultilevel"/>
    <w:tmpl w:val="9BDA92FA"/>
    <w:lvl w:ilvl="0" w:tplc="15245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200D7E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C82CB7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95456B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01CEC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C2E502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692054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5FE49B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624AA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0257B"/>
    <w:multiLevelType w:val="hybridMultilevel"/>
    <w:tmpl w:val="3300E050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Gtbn1uV1LvRyylliX+aTloyQVteLWAn1csr8/NuJM7cUa3GdDM8r+ZDfmYP+JLzY4/rf4b8qJvvetfTrK3DXQ==" w:salt="8GEZyzjQpUwUis443AtbH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C4"/>
    <w:rsid w:val="00007B13"/>
    <w:rsid w:val="00013F20"/>
    <w:rsid w:val="000266B3"/>
    <w:rsid w:val="00037885"/>
    <w:rsid w:val="00044EDD"/>
    <w:rsid w:val="00045C6C"/>
    <w:rsid w:val="00053029"/>
    <w:rsid w:val="000861AC"/>
    <w:rsid w:val="00096148"/>
    <w:rsid w:val="000A7EC4"/>
    <w:rsid w:val="000B3E9D"/>
    <w:rsid w:val="000C3689"/>
    <w:rsid w:val="000C3ED9"/>
    <w:rsid w:val="000C5465"/>
    <w:rsid w:val="000C6B8D"/>
    <w:rsid w:val="000F07EC"/>
    <w:rsid w:val="000F5889"/>
    <w:rsid w:val="00104AD5"/>
    <w:rsid w:val="00111A85"/>
    <w:rsid w:val="00124DF5"/>
    <w:rsid w:val="00125FF0"/>
    <w:rsid w:val="00127B2E"/>
    <w:rsid w:val="001367D3"/>
    <w:rsid w:val="00173EC8"/>
    <w:rsid w:val="001A0BAF"/>
    <w:rsid w:val="001A1087"/>
    <w:rsid w:val="001B1042"/>
    <w:rsid w:val="001D0BB4"/>
    <w:rsid w:val="001E25E2"/>
    <w:rsid w:val="00206AB8"/>
    <w:rsid w:val="00207DA9"/>
    <w:rsid w:val="002547CD"/>
    <w:rsid w:val="002B7EC3"/>
    <w:rsid w:val="002C7B68"/>
    <w:rsid w:val="002E6056"/>
    <w:rsid w:val="002F0E42"/>
    <w:rsid w:val="002F3CF9"/>
    <w:rsid w:val="00302001"/>
    <w:rsid w:val="003241BB"/>
    <w:rsid w:val="003257FB"/>
    <w:rsid w:val="003350AB"/>
    <w:rsid w:val="00346B56"/>
    <w:rsid w:val="00355E4A"/>
    <w:rsid w:val="003576F7"/>
    <w:rsid w:val="00361731"/>
    <w:rsid w:val="003B6BD9"/>
    <w:rsid w:val="003C5064"/>
    <w:rsid w:val="003C5613"/>
    <w:rsid w:val="003D3134"/>
    <w:rsid w:val="003D3AA1"/>
    <w:rsid w:val="003D663D"/>
    <w:rsid w:val="003F758B"/>
    <w:rsid w:val="004041EE"/>
    <w:rsid w:val="00411EF7"/>
    <w:rsid w:val="00421F2B"/>
    <w:rsid w:val="00423C72"/>
    <w:rsid w:val="004246CD"/>
    <w:rsid w:val="00424A18"/>
    <w:rsid w:val="0043248B"/>
    <w:rsid w:val="00446650"/>
    <w:rsid w:val="004570B0"/>
    <w:rsid w:val="004626AC"/>
    <w:rsid w:val="0046393F"/>
    <w:rsid w:val="00463AC3"/>
    <w:rsid w:val="00470469"/>
    <w:rsid w:val="004770BD"/>
    <w:rsid w:val="004834AF"/>
    <w:rsid w:val="00495666"/>
    <w:rsid w:val="004C3D24"/>
    <w:rsid w:val="004E0208"/>
    <w:rsid w:val="004E1A40"/>
    <w:rsid w:val="004F064C"/>
    <w:rsid w:val="005022EB"/>
    <w:rsid w:val="005125CC"/>
    <w:rsid w:val="00516E01"/>
    <w:rsid w:val="0052414F"/>
    <w:rsid w:val="00532DC0"/>
    <w:rsid w:val="00536B22"/>
    <w:rsid w:val="00537DB7"/>
    <w:rsid w:val="00541AAA"/>
    <w:rsid w:val="00541E5A"/>
    <w:rsid w:val="00557E0A"/>
    <w:rsid w:val="00576CED"/>
    <w:rsid w:val="0058760C"/>
    <w:rsid w:val="005A0164"/>
    <w:rsid w:val="005A5045"/>
    <w:rsid w:val="005D256A"/>
    <w:rsid w:val="005D4353"/>
    <w:rsid w:val="005E302D"/>
    <w:rsid w:val="005E61BE"/>
    <w:rsid w:val="005E7E51"/>
    <w:rsid w:val="005F06FA"/>
    <w:rsid w:val="00603F4E"/>
    <w:rsid w:val="006276A4"/>
    <w:rsid w:val="006508A9"/>
    <w:rsid w:val="006535BF"/>
    <w:rsid w:val="00662B45"/>
    <w:rsid w:val="00691FFF"/>
    <w:rsid w:val="006920E9"/>
    <w:rsid w:val="006936D3"/>
    <w:rsid w:val="006B2DE3"/>
    <w:rsid w:val="006C4E74"/>
    <w:rsid w:val="006C6FD3"/>
    <w:rsid w:val="006D129D"/>
    <w:rsid w:val="006D1A36"/>
    <w:rsid w:val="006D2596"/>
    <w:rsid w:val="006D3C2E"/>
    <w:rsid w:val="006E5470"/>
    <w:rsid w:val="0070073E"/>
    <w:rsid w:val="00711272"/>
    <w:rsid w:val="00720FE7"/>
    <w:rsid w:val="007355FD"/>
    <w:rsid w:val="007356C9"/>
    <w:rsid w:val="00746CFF"/>
    <w:rsid w:val="00766755"/>
    <w:rsid w:val="00782DB2"/>
    <w:rsid w:val="007C57B5"/>
    <w:rsid w:val="007F3CFF"/>
    <w:rsid w:val="007F7348"/>
    <w:rsid w:val="007F774D"/>
    <w:rsid w:val="00856466"/>
    <w:rsid w:val="00863A8C"/>
    <w:rsid w:val="00866839"/>
    <w:rsid w:val="00881331"/>
    <w:rsid w:val="0089452F"/>
    <w:rsid w:val="008B01EA"/>
    <w:rsid w:val="008B24F1"/>
    <w:rsid w:val="008B7A7F"/>
    <w:rsid w:val="008B7DFA"/>
    <w:rsid w:val="008C1A97"/>
    <w:rsid w:val="008D5E7B"/>
    <w:rsid w:val="008E425E"/>
    <w:rsid w:val="008E7189"/>
    <w:rsid w:val="008F0398"/>
    <w:rsid w:val="008F523C"/>
    <w:rsid w:val="009077CD"/>
    <w:rsid w:val="00911444"/>
    <w:rsid w:val="00920D46"/>
    <w:rsid w:val="009248FB"/>
    <w:rsid w:val="00932E30"/>
    <w:rsid w:val="009335AA"/>
    <w:rsid w:val="00941B75"/>
    <w:rsid w:val="009423D4"/>
    <w:rsid w:val="00951530"/>
    <w:rsid w:val="00957BA4"/>
    <w:rsid w:val="00957E86"/>
    <w:rsid w:val="00961F13"/>
    <w:rsid w:val="009660D2"/>
    <w:rsid w:val="0097068E"/>
    <w:rsid w:val="00974F28"/>
    <w:rsid w:val="0097568A"/>
    <w:rsid w:val="0097674A"/>
    <w:rsid w:val="00977B53"/>
    <w:rsid w:val="00980799"/>
    <w:rsid w:val="0098109A"/>
    <w:rsid w:val="0098624C"/>
    <w:rsid w:val="009B42B4"/>
    <w:rsid w:val="009D41B6"/>
    <w:rsid w:val="009E109F"/>
    <w:rsid w:val="009E4CEF"/>
    <w:rsid w:val="009F3D6D"/>
    <w:rsid w:val="00A072CC"/>
    <w:rsid w:val="00A12D55"/>
    <w:rsid w:val="00A23444"/>
    <w:rsid w:val="00A34BD0"/>
    <w:rsid w:val="00A47572"/>
    <w:rsid w:val="00A50561"/>
    <w:rsid w:val="00A51DA6"/>
    <w:rsid w:val="00A7016B"/>
    <w:rsid w:val="00A72DE4"/>
    <w:rsid w:val="00A8302F"/>
    <w:rsid w:val="00A979A2"/>
    <w:rsid w:val="00AB526B"/>
    <w:rsid w:val="00AB72D7"/>
    <w:rsid w:val="00AD25DC"/>
    <w:rsid w:val="00AD5C54"/>
    <w:rsid w:val="00AE4E36"/>
    <w:rsid w:val="00AF52DE"/>
    <w:rsid w:val="00AF5AA4"/>
    <w:rsid w:val="00AF60D1"/>
    <w:rsid w:val="00B02B01"/>
    <w:rsid w:val="00B147E6"/>
    <w:rsid w:val="00B2114D"/>
    <w:rsid w:val="00B272F2"/>
    <w:rsid w:val="00B31B56"/>
    <w:rsid w:val="00B42BE6"/>
    <w:rsid w:val="00B45D1D"/>
    <w:rsid w:val="00B47C30"/>
    <w:rsid w:val="00B61B99"/>
    <w:rsid w:val="00B663FA"/>
    <w:rsid w:val="00B679E2"/>
    <w:rsid w:val="00B71D5B"/>
    <w:rsid w:val="00B77C55"/>
    <w:rsid w:val="00BB00B0"/>
    <w:rsid w:val="00BB1EE5"/>
    <w:rsid w:val="00BB33FE"/>
    <w:rsid w:val="00BD0362"/>
    <w:rsid w:val="00BE1BC9"/>
    <w:rsid w:val="00BE7FAC"/>
    <w:rsid w:val="00BF3A11"/>
    <w:rsid w:val="00BF79F2"/>
    <w:rsid w:val="00C023C1"/>
    <w:rsid w:val="00C06CAB"/>
    <w:rsid w:val="00C23FE3"/>
    <w:rsid w:val="00C26B4F"/>
    <w:rsid w:val="00C3175D"/>
    <w:rsid w:val="00C4573E"/>
    <w:rsid w:val="00C5497C"/>
    <w:rsid w:val="00C76F50"/>
    <w:rsid w:val="00C77FF0"/>
    <w:rsid w:val="00C818A2"/>
    <w:rsid w:val="00C90665"/>
    <w:rsid w:val="00C94CEC"/>
    <w:rsid w:val="00CB36B8"/>
    <w:rsid w:val="00CC116A"/>
    <w:rsid w:val="00CD2A3A"/>
    <w:rsid w:val="00CD2C0C"/>
    <w:rsid w:val="00CD66A3"/>
    <w:rsid w:val="00D004F4"/>
    <w:rsid w:val="00D20198"/>
    <w:rsid w:val="00D33ACD"/>
    <w:rsid w:val="00D4713C"/>
    <w:rsid w:val="00D50C13"/>
    <w:rsid w:val="00D51D79"/>
    <w:rsid w:val="00D54458"/>
    <w:rsid w:val="00D631F1"/>
    <w:rsid w:val="00D704C0"/>
    <w:rsid w:val="00D73F73"/>
    <w:rsid w:val="00DA4D4B"/>
    <w:rsid w:val="00DA78DB"/>
    <w:rsid w:val="00DC6646"/>
    <w:rsid w:val="00DD1B70"/>
    <w:rsid w:val="00DE0373"/>
    <w:rsid w:val="00DF002A"/>
    <w:rsid w:val="00DF0E77"/>
    <w:rsid w:val="00E068D9"/>
    <w:rsid w:val="00E138EE"/>
    <w:rsid w:val="00E3420C"/>
    <w:rsid w:val="00E34A8E"/>
    <w:rsid w:val="00E37B74"/>
    <w:rsid w:val="00E44766"/>
    <w:rsid w:val="00E455C6"/>
    <w:rsid w:val="00E473D7"/>
    <w:rsid w:val="00E567D5"/>
    <w:rsid w:val="00E63744"/>
    <w:rsid w:val="00E64A78"/>
    <w:rsid w:val="00E75C82"/>
    <w:rsid w:val="00EA427E"/>
    <w:rsid w:val="00EC1CB2"/>
    <w:rsid w:val="00EC654B"/>
    <w:rsid w:val="00ED4FED"/>
    <w:rsid w:val="00EF0F3B"/>
    <w:rsid w:val="00F07353"/>
    <w:rsid w:val="00F172C3"/>
    <w:rsid w:val="00F2045E"/>
    <w:rsid w:val="00F242B4"/>
    <w:rsid w:val="00F25B3E"/>
    <w:rsid w:val="00F42695"/>
    <w:rsid w:val="00F618D8"/>
    <w:rsid w:val="00F65760"/>
    <w:rsid w:val="00F66B66"/>
    <w:rsid w:val="00F813D7"/>
    <w:rsid w:val="00F94031"/>
    <w:rsid w:val="00FA6FE6"/>
    <w:rsid w:val="00FC18FE"/>
    <w:rsid w:val="00FD5D8F"/>
    <w:rsid w:val="0F17FB10"/>
    <w:rsid w:val="131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955CD"/>
  <w15:chartTrackingRefBased/>
  <w15:docId w15:val="{FBEC4D71-F21C-4FB2-8E0C-B375AEB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FF"/>
  </w:style>
  <w:style w:type="paragraph" w:styleId="Footer">
    <w:name w:val="footer"/>
    <w:basedOn w:val="Normal"/>
    <w:link w:val="FooterChar"/>
    <w:uiPriority w:val="99"/>
    <w:unhideWhenUsed/>
    <w:rsid w:val="007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FF"/>
  </w:style>
  <w:style w:type="paragraph" w:styleId="ListParagraph">
    <w:name w:val="List Paragraph"/>
    <w:basedOn w:val="Normal"/>
    <w:uiPriority w:val="34"/>
    <w:qFormat/>
    <w:rsid w:val="00C45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861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51D79"/>
  </w:style>
  <w:style w:type="paragraph" w:styleId="FootnoteText">
    <w:name w:val="footnote text"/>
    <w:basedOn w:val="Normal"/>
    <w:link w:val="FootnoteTextChar"/>
    <w:uiPriority w:val="99"/>
    <w:semiHidden/>
    <w:unhideWhenUsed/>
    <w:rsid w:val="003C56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106ED144AAF4C990E98A827473D85" ma:contentTypeVersion="2" ma:contentTypeDescription="Create a new document." ma:contentTypeScope="" ma:versionID="0558fa644024a2646dda1b71e0b36ded">
  <xsd:schema xmlns:xsd="http://www.w3.org/2001/XMLSchema" xmlns:xs="http://www.w3.org/2001/XMLSchema" xmlns:p="http://schemas.microsoft.com/office/2006/metadata/properties" xmlns:ns2="e945302d-9a08-4d25-a646-9f45423b29f9" targetNamespace="http://schemas.microsoft.com/office/2006/metadata/properties" ma:root="true" ma:fieldsID="47ce16c7765b6c2f47326c24e86ed518" ns2:_="">
    <xsd:import namespace="e945302d-9a08-4d25-a646-9f45423b2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302d-9a08-4d25-a646-9f45423b2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0B474-C5C2-441F-A176-2207D0CC9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F8F53-3A89-4B21-8EA5-BCE1BB423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76CE3-BBFE-4C20-89E8-F2695DF67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76FFC-118B-47AB-8D49-5C124018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302d-9a08-4d25-a646-9f45423b2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3733</Characters>
  <Application>Microsoft Office Word</Application>
  <DocSecurity>12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Mitigation Workload Key Findings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Mitigation Workload Key Findings</dc:title>
  <dc:subject/>
  <dc:creator>Cope, Grant@DTSC</dc:creator>
  <cp:keywords/>
  <dc:description/>
  <cp:lastModifiedBy>Numazu, Jane@DTSC</cp:lastModifiedBy>
  <cp:revision>7</cp:revision>
  <dcterms:created xsi:type="dcterms:W3CDTF">2021-01-29T20:56:00Z</dcterms:created>
  <dcterms:modified xsi:type="dcterms:W3CDTF">2021-02-01T19:46:00Z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0x0101007D0106ED144AAF4C990E98A827473D85</vt:lpwstr>
  </property>
</Properties>
</file>